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299" w:rsidRPr="00C06299" w:rsidRDefault="00C06299" w:rsidP="00C06299">
      <w:pPr>
        <w:rPr>
          <w:rFonts w:asciiTheme="minorHAnsi" w:hAnsiTheme="minorHAnsi"/>
          <w:sz w:val="18"/>
          <w:szCs w:val="18"/>
        </w:rPr>
      </w:pPr>
      <w:bookmarkStart w:id="0" w:name="_11_ZHR_STKR_TASK_–zelená"/>
      <w:bookmarkStart w:id="1" w:name="_13_ZHR_STKRxxxxxx_podpisový"/>
      <w:bookmarkStart w:id="2" w:name="_14_Připomínky_pro"/>
      <w:bookmarkStart w:id="3" w:name="_15_FKSP_do"/>
      <w:bookmarkStart w:id="4" w:name="_16_ZHR_IT0001_a"/>
      <w:bookmarkStart w:id="5" w:name="_17_ZHRDMS_SPIS_REPx"/>
      <w:bookmarkStart w:id="6" w:name="_19_Export_do"/>
      <w:bookmarkStart w:id="7" w:name="_20_IdM_do"/>
      <w:bookmarkStart w:id="8" w:name="_21_STKR_–"/>
      <w:bookmarkStart w:id="9" w:name="_22_Zaměstnanecký_průkaz"/>
      <w:bookmarkStart w:id="10" w:name="_25_Číselník_budov"/>
      <w:bookmarkStart w:id="11" w:name="_32_ZHR_SPIS_–"/>
      <w:bookmarkStart w:id="12" w:name="_49_Do_ZHR_STKR"/>
      <w:bookmarkStart w:id="13" w:name="_50_Vedoucí_-"/>
      <w:bookmarkEnd w:id="0"/>
      <w:bookmarkEnd w:id="1"/>
      <w:bookmarkEnd w:id="2"/>
      <w:bookmarkEnd w:id="3"/>
      <w:bookmarkEnd w:id="4"/>
      <w:bookmarkEnd w:id="5"/>
      <w:bookmarkEnd w:id="6"/>
      <w:bookmarkEnd w:id="7"/>
      <w:bookmarkEnd w:id="8"/>
      <w:bookmarkEnd w:id="9"/>
      <w:bookmarkEnd w:id="10"/>
      <w:bookmarkEnd w:id="11"/>
      <w:bookmarkEnd w:id="12"/>
      <w:bookmarkEnd w:id="13"/>
      <w:r w:rsidRPr="00C06299">
        <w:rPr>
          <w:rFonts w:asciiTheme="minorHAnsi" w:hAnsiTheme="minorHAnsi"/>
          <w:sz w:val="18"/>
          <w:szCs w:val="18"/>
        </w:rPr>
        <w:t>Příloha č. 1 Smlouvy</w:t>
      </w:r>
    </w:p>
    <w:p w:rsidR="00C06299" w:rsidRPr="00C06299" w:rsidRDefault="00C06299" w:rsidP="00C06299">
      <w:pPr>
        <w:rPr>
          <w:rFonts w:asciiTheme="minorHAnsi" w:hAnsiTheme="minorHAnsi"/>
          <w:b/>
          <w:color w:val="FF5200" w:themeColor="accent2"/>
          <w:sz w:val="36"/>
          <w:szCs w:val="36"/>
        </w:rPr>
      </w:pPr>
      <w:r w:rsidRPr="00C06299">
        <w:rPr>
          <w:rFonts w:asciiTheme="minorHAnsi" w:hAnsiTheme="minorHAnsi"/>
          <w:b/>
          <w:color w:val="FF5200" w:themeColor="accent2"/>
          <w:sz w:val="36"/>
          <w:szCs w:val="36"/>
        </w:rPr>
        <w:t>Specifikace plnění</w:t>
      </w:r>
    </w:p>
    <w:p w:rsidR="00C53936" w:rsidRPr="00C53936" w:rsidRDefault="00C53936" w:rsidP="00C53936">
      <w:pPr>
        <w:jc w:val="both"/>
        <w:rPr>
          <w:sz w:val="18"/>
          <w:szCs w:val="18"/>
        </w:rPr>
      </w:pPr>
      <w:bookmarkStart w:id="14" w:name="_52_Co_externista"/>
      <w:bookmarkStart w:id="15" w:name="_53_Pro_DPP"/>
      <w:bookmarkStart w:id="16" w:name="_54eNeschopena_–_nový"/>
      <w:bookmarkStart w:id="17" w:name="_55_Předávat_do"/>
      <w:bookmarkStart w:id="18" w:name="_56_Externisté_–"/>
      <w:bookmarkStart w:id="19" w:name="_70_Sladění_času"/>
      <w:bookmarkStart w:id="20" w:name="_71_Číslo_KOP"/>
      <w:bookmarkStart w:id="21" w:name="_72_Funkční_modul"/>
      <w:bookmarkStart w:id="22" w:name="_73_UPN_do"/>
      <w:bookmarkStart w:id="23" w:name="_77_UPN_do"/>
      <w:bookmarkStart w:id="24" w:name="_74_Portál_SŽ"/>
      <w:bookmarkStart w:id="25" w:name="_81_Nový_ccc"/>
      <w:bookmarkStart w:id="26" w:name="_97_PROFESE_–"/>
      <w:bookmarkStart w:id="27" w:name="_99_IT_9001"/>
      <w:bookmarkStart w:id="28" w:name="_104_xx"/>
      <w:bookmarkStart w:id="29" w:name="_105_xx"/>
      <w:bookmarkStart w:id="30" w:name="_110_Z_HR_IT9001_MISTNOST_GETLIST_-"/>
      <w:bookmarkStart w:id="31" w:name="_111_Evidence_RZD"/>
      <w:bookmarkStart w:id="32" w:name="_112_Vstupní_obrazovka"/>
      <w:bookmarkStart w:id="33" w:name="_113_Úprava_synchronizace"/>
      <w:bookmarkStart w:id="34" w:name="_115_ZHR_STKR_TASK_–"/>
      <w:bookmarkStart w:id="35" w:name="_116_Externista_–"/>
      <w:bookmarkStart w:id="36" w:name="_117_xx"/>
      <w:bookmarkStart w:id="37" w:name="_118_Revize_transakce"/>
      <w:bookmarkStart w:id="38" w:name="_127_STKR_–"/>
      <w:bookmarkStart w:id="39" w:name="_128_Úpravy_COVID"/>
      <w:bookmarkStart w:id="40" w:name="_127_Notifikace_vedoucím"/>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C53936">
        <w:rPr>
          <w:sz w:val="18"/>
          <w:szCs w:val="18"/>
        </w:rPr>
        <w:t xml:space="preserve">Na základě rozhodnutí Řídícího výboru projektu Systém ekonomického řízení portfolia nemovitostí SŽDC ze dne </w:t>
      </w:r>
      <w:proofErr w:type="gramStart"/>
      <w:r w:rsidRPr="00C53936">
        <w:rPr>
          <w:sz w:val="18"/>
          <w:szCs w:val="18"/>
        </w:rPr>
        <w:t>27.1.2022</w:t>
      </w:r>
      <w:proofErr w:type="gramEnd"/>
      <w:r w:rsidRPr="00C53936">
        <w:rPr>
          <w:sz w:val="18"/>
          <w:szCs w:val="18"/>
        </w:rPr>
        <w:t xml:space="preserve"> byl proveden odhad pracnosti a ceny jednotlivých rozvojových požadavků. Na základě provedeného odhadu byly vybrány následující požadavky na rozvoj manažerského reportu pro správu nemovitostí. </w:t>
      </w:r>
    </w:p>
    <w:p w:rsidR="00C53936" w:rsidRPr="00C53936" w:rsidRDefault="00C53936" w:rsidP="00C53936">
      <w:pPr>
        <w:jc w:val="both"/>
        <w:rPr>
          <w:sz w:val="18"/>
          <w:szCs w:val="18"/>
        </w:rPr>
      </w:pPr>
      <w:r w:rsidRPr="00C53936">
        <w:rPr>
          <w:sz w:val="18"/>
          <w:szCs w:val="18"/>
        </w:rPr>
        <w:t xml:space="preserve">Manažerský report pro správu nemovitostí se skládá ze dvou hlavních částí: </w:t>
      </w:r>
    </w:p>
    <w:p w:rsidR="00C53936" w:rsidRPr="00C53936" w:rsidRDefault="00C53936" w:rsidP="00C53936">
      <w:pPr>
        <w:pStyle w:val="Odstavecseseznamem"/>
        <w:numPr>
          <w:ilvl w:val="0"/>
          <w:numId w:val="6"/>
        </w:numPr>
        <w:rPr>
          <w:sz w:val="18"/>
          <w:szCs w:val="18"/>
        </w:rPr>
      </w:pPr>
      <w:r w:rsidRPr="00C53936">
        <w:rPr>
          <w:sz w:val="18"/>
          <w:szCs w:val="18"/>
        </w:rPr>
        <w:t>Report 1A: Slouží jako základní přehledový report, který uživatele informuje o majetku pro vybranou oblast (Česká republika, Oblastní ředitelství, kraj).</w:t>
      </w:r>
    </w:p>
    <w:p w:rsidR="00C53936" w:rsidRPr="00C53936" w:rsidRDefault="00C53936" w:rsidP="00C53936">
      <w:pPr>
        <w:pStyle w:val="Odstavecseseznamem"/>
        <w:numPr>
          <w:ilvl w:val="0"/>
          <w:numId w:val="6"/>
        </w:numPr>
        <w:jc w:val="both"/>
        <w:rPr>
          <w:sz w:val="18"/>
          <w:szCs w:val="18"/>
        </w:rPr>
      </w:pPr>
      <w:r w:rsidRPr="00C53936">
        <w:rPr>
          <w:sz w:val="18"/>
          <w:szCs w:val="18"/>
        </w:rPr>
        <w:t>Report 1B: Individuální pohled na vybranou budovu.</w:t>
      </w:r>
    </w:p>
    <w:p w:rsidR="00C53936" w:rsidRDefault="00C53936" w:rsidP="00C53936">
      <w:pPr>
        <w:pStyle w:val="Nadpis2"/>
        <w:numPr>
          <w:ilvl w:val="1"/>
          <w:numId w:val="0"/>
        </w:numPr>
        <w:spacing w:line="264" w:lineRule="auto"/>
        <w:ind w:left="576" w:hanging="576"/>
      </w:pPr>
      <w:r w:rsidRPr="00C53936">
        <w:t>Seznam požadovaných úprav</w:t>
      </w:r>
    </w:p>
    <w:p w:rsidR="00533B01" w:rsidRPr="00533B01" w:rsidRDefault="00533B01" w:rsidP="00533B01"/>
    <w:p w:rsidR="00C53936" w:rsidRPr="00C53936" w:rsidRDefault="00C53936" w:rsidP="00C53936">
      <w:pPr>
        <w:pStyle w:val="Odstavecseseznamem"/>
        <w:numPr>
          <w:ilvl w:val="0"/>
          <w:numId w:val="5"/>
        </w:numPr>
        <w:autoSpaceDE w:val="0"/>
        <w:autoSpaceDN w:val="0"/>
        <w:adjustRightInd w:val="0"/>
        <w:spacing w:after="0" w:line="240" w:lineRule="auto"/>
        <w:rPr>
          <w:rStyle w:val="Nadpis3Char"/>
          <w:rFonts w:eastAsiaTheme="minorHAnsi" w:cs="Verdana"/>
          <w:b w:val="0"/>
          <w:bCs/>
          <w:color w:val="000000"/>
        </w:rPr>
      </w:pPr>
      <w:r w:rsidRPr="00C53936">
        <w:rPr>
          <w:rStyle w:val="Nadpis3Char"/>
        </w:rPr>
        <w:t>Přehled nájemních smluv: Detail smluv vztažený ke smlouvám (Jedna smlouva = Jeden řádek)</w:t>
      </w:r>
    </w:p>
    <w:p w:rsidR="00C53936" w:rsidRPr="00864E59" w:rsidRDefault="00C53936" w:rsidP="00C53936">
      <w:pPr>
        <w:pStyle w:val="Odstavecseseznamem"/>
        <w:numPr>
          <w:ilvl w:val="1"/>
          <w:numId w:val="5"/>
        </w:numPr>
        <w:autoSpaceDE w:val="0"/>
        <w:autoSpaceDN w:val="0"/>
        <w:adjustRightInd w:val="0"/>
        <w:spacing w:after="0" w:line="240" w:lineRule="auto"/>
        <w:jc w:val="both"/>
        <w:rPr>
          <w:rFonts w:cs="Verdana"/>
          <w:color w:val="000000"/>
          <w:szCs w:val="20"/>
        </w:rPr>
      </w:pPr>
      <w:r w:rsidRPr="00864E59">
        <w:rPr>
          <w:rFonts w:cs="Verdana"/>
          <w:color w:val="000000"/>
          <w:szCs w:val="20"/>
        </w:rPr>
        <w:t xml:space="preserve">Aktuální stav: </w:t>
      </w:r>
      <w:r w:rsidRPr="00864E59">
        <w:rPr>
          <w:color w:val="000000"/>
          <w:szCs w:val="20"/>
        </w:rPr>
        <w:t xml:space="preserve">Report </w:t>
      </w:r>
      <w:r>
        <w:rPr>
          <w:color w:val="000000"/>
          <w:szCs w:val="20"/>
        </w:rPr>
        <w:t xml:space="preserve">v sekci Detailu smluv reportu 1B </w:t>
      </w:r>
      <w:r w:rsidRPr="00864E59">
        <w:rPr>
          <w:color w:val="000000"/>
          <w:szCs w:val="20"/>
        </w:rPr>
        <w:t>aktuálně zobrazuje informace o konkrétních nájemních objektech.</w:t>
      </w:r>
      <w:r>
        <w:rPr>
          <w:color w:val="000000"/>
          <w:szCs w:val="20"/>
        </w:rPr>
        <w:t xml:space="preserve"> Jednotlivé řádky zobrazují informace o jednotlivých nájemních objektech. </w:t>
      </w:r>
    </w:p>
    <w:p w:rsidR="00C53936" w:rsidRDefault="00C53936" w:rsidP="00C53936">
      <w:pPr>
        <w:pStyle w:val="Odstavecseseznamem"/>
        <w:numPr>
          <w:ilvl w:val="1"/>
          <w:numId w:val="5"/>
        </w:numPr>
        <w:autoSpaceDE w:val="0"/>
        <w:autoSpaceDN w:val="0"/>
        <w:adjustRightInd w:val="0"/>
        <w:spacing w:after="0" w:line="240" w:lineRule="auto"/>
        <w:jc w:val="both"/>
        <w:rPr>
          <w:rFonts w:cs="Verdana"/>
          <w:color w:val="000000"/>
          <w:szCs w:val="20"/>
        </w:rPr>
      </w:pPr>
      <w:r w:rsidRPr="00864E59">
        <w:rPr>
          <w:rFonts w:cs="Verdana"/>
          <w:color w:val="000000"/>
          <w:szCs w:val="20"/>
        </w:rPr>
        <w:t>Popis rozvojového požadavku: Cílem rozvojového požadavku je zobrazit v detailu informace o jednotlivých smlouvách vázaných k</w:t>
      </w:r>
      <w:r>
        <w:rPr>
          <w:rFonts w:cs="Verdana"/>
          <w:color w:val="000000"/>
          <w:szCs w:val="20"/>
        </w:rPr>
        <w:t> </w:t>
      </w:r>
      <w:r w:rsidRPr="00864E59">
        <w:rPr>
          <w:rFonts w:cs="Verdana"/>
          <w:color w:val="000000"/>
          <w:szCs w:val="20"/>
        </w:rPr>
        <w:t>budově</w:t>
      </w:r>
      <w:r>
        <w:rPr>
          <w:rFonts w:cs="Verdana"/>
          <w:color w:val="000000"/>
          <w:szCs w:val="20"/>
        </w:rPr>
        <w:t xml:space="preserve"> (případně budovám)</w:t>
      </w:r>
      <w:r w:rsidRPr="00864E59">
        <w:rPr>
          <w:rFonts w:cs="Verdana"/>
          <w:color w:val="000000"/>
          <w:szCs w:val="20"/>
        </w:rPr>
        <w:t>.</w:t>
      </w:r>
      <w:r>
        <w:rPr>
          <w:rFonts w:cs="Verdana"/>
          <w:color w:val="000000"/>
          <w:szCs w:val="20"/>
        </w:rPr>
        <w:t xml:space="preserve"> Veškeré údaje se budou zobrazovat v Detailu smluv na úrovni smluv, nikoliv k nájemnímu objektu jak tomu je v aktuálním stavu. Celková požadovaná podoba záhlaví sloupců tabulky u Detailu smluv je k dispozici na obrázku č. 1. Toto řešení je vyžadováno u všech sekcí smluv (bytové, komerční, dopravci). Součástí tohoto požadavku je též odstranění sloupce Pronajímaný prostor, sloupec Jednotková cena se získá výpočtem Celková cena za smlouvu za rok/Výměra.</w:t>
      </w:r>
    </w:p>
    <w:p w:rsidR="00C53936" w:rsidRDefault="00C53936" w:rsidP="00C53936">
      <w:pPr>
        <w:pStyle w:val="Odstavecseseznamem"/>
        <w:autoSpaceDE w:val="0"/>
        <w:autoSpaceDN w:val="0"/>
        <w:adjustRightInd w:val="0"/>
        <w:spacing w:after="0" w:line="240" w:lineRule="auto"/>
        <w:ind w:left="999"/>
        <w:jc w:val="both"/>
        <w:rPr>
          <w:rFonts w:cs="Verdana"/>
          <w:color w:val="000000"/>
          <w:szCs w:val="20"/>
        </w:rPr>
      </w:pPr>
    </w:p>
    <w:tbl>
      <w:tblPr>
        <w:tblW w:w="5000" w:type="pct"/>
        <w:tblCellMar>
          <w:left w:w="70" w:type="dxa"/>
          <w:right w:w="70" w:type="dxa"/>
        </w:tblCellMar>
        <w:tblLook w:val="04A0" w:firstRow="1" w:lastRow="0" w:firstColumn="1" w:lastColumn="0" w:noHBand="0" w:noVBand="1"/>
      </w:tblPr>
      <w:tblGrid>
        <w:gridCol w:w="1085"/>
        <w:gridCol w:w="1085"/>
        <w:gridCol w:w="1085"/>
        <w:gridCol w:w="1085"/>
        <w:gridCol w:w="1085"/>
        <w:gridCol w:w="1085"/>
        <w:gridCol w:w="1097"/>
        <w:gridCol w:w="1085"/>
      </w:tblGrid>
      <w:tr w:rsidR="00C53936" w:rsidRPr="000B34AE" w:rsidTr="003A77EE">
        <w:trPr>
          <w:trHeight w:val="1000"/>
        </w:trPr>
        <w:tc>
          <w:tcPr>
            <w:tcW w:w="625" w:type="pct"/>
            <w:tcBorders>
              <w:top w:val="single" w:sz="4" w:space="0" w:color="auto"/>
              <w:left w:val="single" w:sz="4" w:space="0" w:color="auto"/>
              <w:bottom w:val="single" w:sz="4" w:space="0" w:color="auto"/>
              <w:right w:val="single" w:sz="4" w:space="0" w:color="auto"/>
            </w:tcBorders>
            <w:shd w:val="clear" w:color="000000" w:fill="FFFF00"/>
            <w:vAlign w:val="center"/>
            <w:hideMark/>
          </w:tcPr>
          <w:p w:rsidR="00C53936" w:rsidRPr="000B34AE" w:rsidRDefault="00C53936" w:rsidP="003A77EE">
            <w:pPr>
              <w:spacing w:after="0" w:line="240" w:lineRule="auto"/>
              <w:jc w:val="center"/>
              <w:rPr>
                <w:rFonts w:ascii="Calibri" w:eastAsia="Times New Roman" w:hAnsi="Calibri" w:cs="Calibri"/>
                <w:color w:val="000000"/>
                <w:szCs w:val="20"/>
                <w:lang w:eastAsia="cs-CZ"/>
              </w:rPr>
            </w:pPr>
            <w:r w:rsidRPr="000B34AE">
              <w:rPr>
                <w:rFonts w:ascii="Calibri" w:eastAsia="Times New Roman" w:hAnsi="Calibri" w:cs="Calibri"/>
                <w:color w:val="000000"/>
                <w:szCs w:val="20"/>
                <w:lang w:eastAsia="cs-CZ"/>
              </w:rPr>
              <w:t>Název budovy</w:t>
            </w:r>
            <w:r w:rsidRPr="000B34AE">
              <w:rPr>
                <w:rFonts w:ascii="Calibri" w:eastAsia="Times New Roman" w:hAnsi="Calibri" w:cs="Calibri"/>
                <w:color w:val="000000"/>
                <w:szCs w:val="20"/>
                <w:lang w:eastAsia="cs-CZ"/>
              </w:rPr>
              <w:br/>
            </w:r>
            <w:r w:rsidRPr="000B34AE">
              <w:rPr>
                <w:rFonts w:ascii="Calibri" w:eastAsia="Times New Roman" w:hAnsi="Calibri" w:cs="Calibri"/>
                <w:i/>
                <w:iCs/>
                <w:color w:val="000000"/>
                <w:szCs w:val="20"/>
                <w:lang w:eastAsia="cs-CZ"/>
              </w:rPr>
              <w:t>nový sloupec</w:t>
            </w:r>
            <w:r>
              <w:rPr>
                <w:rFonts w:ascii="Calibri" w:eastAsia="Times New Roman" w:hAnsi="Calibri" w:cs="Calibri"/>
                <w:i/>
                <w:iCs/>
                <w:color w:val="000000"/>
                <w:szCs w:val="20"/>
                <w:lang w:eastAsia="cs-CZ"/>
              </w:rPr>
              <w:t xml:space="preserve"> (požadavek 9)</w:t>
            </w:r>
          </w:p>
        </w:tc>
        <w:tc>
          <w:tcPr>
            <w:tcW w:w="625" w:type="pct"/>
            <w:tcBorders>
              <w:top w:val="single" w:sz="4" w:space="0" w:color="auto"/>
              <w:left w:val="nil"/>
              <w:bottom w:val="single" w:sz="4" w:space="0" w:color="auto"/>
              <w:right w:val="single" w:sz="4" w:space="0" w:color="auto"/>
            </w:tcBorders>
            <w:shd w:val="clear" w:color="auto" w:fill="auto"/>
            <w:vAlign w:val="center"/>
            <w:hideMark/>
          </w:tcPr>
          <w:p w:rsidR="00C53936" w:rsidRPr="000B34AE" w:rsidRDefault="00C53936" w:rsidP="003A77EE">
            <w:pPr>
              <w:spacing w:after="0" w:line="240" w:lineRule="auto"/>
              <w:jc w:val="center"/>
              <w:rPr>
                <w:rFonts w:ascii="Calibri" w:eastAsia="Times New Roman" w:hAnsi="Calibri" w:cs="Calibri"/>
                <w:color w:val="000000"/>
                <w:szCs w:val="20"/>
                <w:lang w:eastAsia="cs-CZ"/>
              </w:rPr>
            </w:pPr>
            <w:r w:rsidRPr="000B34AE">
              <w:rPr>
                <w:rFonts w:ascii="Calibri" w:eastAsia="Times New Roman" w:hAnsi="Calibri" w:cs="Calibri"/>
                <w:color w:val="000000"/>
                <w:szCs w:val="20"/>
                <w:lang w:eastAsia="cs-CZ"/>
              </w:rPr>
              <w:t>Smlouva</w:t>
            </w:r>
          </w:p>
        </w:tc>
        <w:tc>
          <w:tcPr>
            <w:tcW w:w="625" w:type="pct"/>
            <w:tcBorders>
              <w:top w:val="single" w:sz="4" w:space="0" w:color="auto"/>
              <w:left w:val="nil"/>
              <w:bottom w:val="single" w:sz="4" w:space="0" w:color="auto"/>
              <w:right w:val="single" w:sz="4" w:space="0" w:color="auto"/>
            </w:tcBorders>
            <w:shd w:val="clear" w:color="auto" w:fill="auto"/>
            <w:vAlign w:val="center"/>
            <w:hideMark/>
          </w:tcPr>
          <w:p w:rsidR="00C53936" w:rsidRPr="000B34AE" w:rsidRDefault="00C53936" w:rsidP="003A77EE">
            <w:pPr>
              <w:spacing w:after="0" w:line="240" w:lineRule="auto"/>
              <w:jc w:val="center"/>
              <w:rPr>
                <w:rFonts w:ascii="Calibri" w:eastAsia="Times New Roman" w:hAnsi="Calibri" w:cs="Calibri"/>
                <w:color w:val="000000"/>
                <w:szCs w:val="20"/>
                <w:lang w:eastAsia="cs-CZ"/>
              </w:rPr>
            </w:pPr>
            <w:r w:rsidRPr="000B34AE">
              <w:rPr>
                <w:rFonts w:ascii="Calibri" w:eastAsia="Times New Roman" w:hAnsi="Calibri" w:cs="Calibri"/>
                <w:color w:val="000000"/>
                <w:szCs w:val="20"/>
                <w:lang w:eastAsia="cs-CZ"/>
              </w:rPr>
              <w:t>Začátek smlouvy</w:t>
            </w:r>
          </w:p>
        </w:tc>
        <w:tc>
          <w:tcPr>
            <w:tcW w:w="625" w:type="pct"/>
            <w:tcBorders>
              <w:top w:val="single" w:sz="4" w:space="0" w:color="auto"/>
              <w:left w:val="nil"/>
              <w:bottom w:val="single" w:sz="4" w:space="0" w:color="auto"/>
              <w:right w:val="single" w:sz="4" w:space="0" w:color="auto"/>
            </w:tcBorders>
            <w:shd w:val="clear" w:color="auto" w:fill="auto"/>
            <w:vAlign w:val="center"/>
            <w:hideMark/>
          </w:tcPr>
          <w:p w:rsidR="00C53936" w:rsidRPr="000B34AE" w:rsidRDefault="00C53936" w:rsidP="003A77EE">
            <w:pPr>
              <w:spacing w:after="0" w:line="240" w:lineRule="auto"/>
              <w:jc w:val="center"/>
              <w:rPr>
                <w:rFonts w:ascii="Calibri" w:eastAsia="Times New Roman" w:hAnsi="Calibri" w:cs="Calibri"/>
                <w:color w:val="000000"/>
                <w:szCs w:val="20"/>
                <w:lang w:eastAsia="cs-CZ"/>
              </w:rPr>
            </w:pPr>
            <w:r w:rsidRPr="000B34AE">
              <w:rPr>
                <w:rFonts w:ascii="Calibri" w:eastAsia="Times New Roman" w:hAnsi="Calibri" w:cs="Calibri"/>
                <w:color w:val="000000"/>
                <w:szCs w:val="20"/>
                <w:lang w:eastAsia="cs-CZ"/>
              </w:rPr>
              <w:t>Konec doby platnosti</w:t>
            </w:r>
          </w:p>
        </w:tc>
        <w:tc>
          <w:tcPr>
            <w:tcW w:w="625" w:type="pct"/>
            <w:tcBorders>
              <w:top w:val="single" w:sz="4" w:space="0" w:color="auto"/>
              <w:left w:val="nil"/>
              <w:bottom w:val="single" w:sz="4" w:space="0" w:color="auto"/>
              <w:right w:val="single" w:sz="4" w:space="0" w:color="auto"/>
            </w:tcBorders>
            <w:shd w:val="clear" w:color="000000" w:fill="FFFF00"/>
            <w:vAlign w:val="center"/>
            <w:hideMark/>
          </w:tcPr>
          <w:p w:rsidR="00C53936" w:rsidRPr="000B34AE" w:rsidRDefault="00C53936" w:rsidP="003A77EE">
            <w:pPr>
              <w:spacing w:after="0" w:line="240" w:lineRule="auto"/>
              <w:jc w:val="center"/>
              <w:rPr>
                <w:rFonts w:ascii="Calibri" w:eastAsia="Times New Roman" w:hAnsi="Calibri" w:cs="Calibri"/>
                <w:color w:val="000000"/>
                <w:szCs w:val="20"/>
                <w:lang w:eastAsia="cs-CZ"/>
              </w:rPr>
            </w:pPr>
            <w:r w:rsidRPr="000B34AE">
              <w:rPr>
                <w:rFonts w:ascii="Calibri" w:eastAsia="Times New Roman" w:hAnsi="Calibri" w:cs="Calibri"/>
                <w:color w:val="000000"/>
                <w:szCs w:val="20"/>
                <w:lang w:eastAsia="cs-CZ"/>
              </w:rPr>
              <w:t>Druh plochy</w:t>
            </w:r>
            <w:r w:rsidRPr="000B34AE">
              <w:rPr>
                <w:rFonts w:ascii="Calibri" w:eastAsia="Times New Roman" w:hAnsi="Calibri" w:cs="Calibri"/>
                <w:color w:val="000000"/>
                <w:szCs w:val="20"/>
                <w:lang w:eastAsia="cs-CZ"/>
              </w:rPr>
              <w:br/>
            </w:r>
            <w:r w:rsidRPr="000B34AE">
              <w:rPr>
                <w:rFonts w:ascii="Calibri" w:eastAsia="Times New Roman" w:hAnsi="Calibri" w:cs="Calibri"/>
                <w:i/>
                <w:iCs/>
                <w:color w:val="000000"/>
                <w:szCs w:val="20"/>
                <w:lang w:eastAsia="cs-CZ"/>
              </w:rPr>
              <w:t>nový sloupec</w:t>
            </w:r>
            <w:r>
              <w:rPr>
                <w:rFonts w:ascii="Calibri" w:eastAsia="Times New Roman" w:hAnsi="Calibri" w:cs="Calibri"/>
                <w:i/>
                <w:iCs/>
                <w:color w:val="000000"/>
                <w:szCs w:val="20"/>
                <w:lang w:eastAsia="cs-CZ"/>
              </w:rPr>
              <w:t xml:space="preserve"> (požadavek 5)</w:t>
            </w:r>
          </w:p>
        </w:tc>
        <w:tc>
          <w:tcPr>
            <w:tcW w:w="625" w:type="pct"/>
            <w:tcBorders>
              <w:top w:val="single" w:sz="4" w:space="0" w:color="auto"/>
              <w:left w:val="nil"/>
              <w:bottom w:val="single" w:sz="4" w:space="0" w:color="auto"/>
              <w:right w:val="single" w:sz="4" w:space="0" w:color="auto"/>
            </w:tcBorders>
            <w:shd w:val="clear" w:color="auto" w:fill="auto"/>
            <w:vAlign w:val="center"/>
            <w:hideMark/>
          </w:tcPr>
          <w:p w:rsidR="00C53936" w:rsidRPr="000B34AE" w:rsidRDefault="00C53936" w:rsidP="003A77EE">
            <w:pPr>
              <w:spacing w:after="0" w:line="240" w:lineRule="auto"/>
              <w:jc w:val="center"/>
              <w:rPr>
                <w:rFonts w:ascii="Calibri" w:eastAsia="Times New Roman" w:hAnsi="Calibri" w:cs="Calibri"/>
                <w:color w:val="000000"/>
                <w:szCs w:val="20"/>
                <w:lang w:eastAsia="cs-CZ"/>
              </w:rPr>
            </w:pPr>
            <w:r w:rsidRPr="000B34AE">
              <w:rPr>
                <w:rFonts w:ascii="Calibri" w:eastAsia="Times New Roman" w:hAnsi="Calibri" w:cs="Calibri"/>
                <w:color w:val="000000"/>
                <w:szCs w:val="20"/>
                <w:lang w:eastAsia="cs-CZ"/>
              </w:rPr>
              <w:t>Výměra</w:t>
            </w:r>
          </w:p>
        </w:tc>
        <w:tc>
          <w:tcPr>
            <w:tcW w:w="625" w:type="pct"/>
            <w:tcBorders>
              <w:top w:val="single" w:sz="4" w:space="0" w:color="auto"/>
              <w:left w:val="nil"/>
              <w:bottom w:val="single" w:sz="4" w:space="0" w:color="auto"/>
              <w:right w:val="single" w:sz="4" w:space="0" w:color="auto"/>
            </w:tcBorders>
            <w:shd w:val="clear" w:color="auto" w:fill="auto"/>
            <w:vAlign w:val="center"/>
            <w:hideMark/>
          </w:tcPr>
          <w:p w:rsidR="00C53936" w:rsidRPr="000B34AE" w:rsidRDefault="00C53936" w:rsidP="003A77EE">
            <w:pPr>
              <w:spacing w:after="0" w:line="240" w:lineRule="auto"/>
              <w:jc w:val="center"/>
              <w:rPr>
                <w:rFonts w:ascii="Calibri" w:eastAsia="Times New Roman" w:hAnsi="Calibri" w:cs="Calibri"/>
                <w:color w:val="000000"/>
                <w:szCs w:val="20"/>
                <w:lang w:eastAsia="cs-CZ"/>
              </w:rPr>
            </w:pPr>
            <w:r w:rsidRPr="000B34AE">
              <w:rPr>
                <w:rFonts w:ascii="Calibri" w:eastAsia="Times New Roman" w:hAnsi="Calibri" w:cs="Calibri"/>
                <w:color w:val="000000"/>
                <w:szCs w:val="20"/>
                <w:lang w:eastAsia="cs-CZ"/>
              </w:rPr>
              <w:t>Jednotková cen</w:t>
            </w:r>
            <w:r>
              <w:rPr>
                <w:rFonts w:ascii="Calibri" w:eastAsia="Times New Roman" w:hAnsi="Calibri" w:cs="Calibri"/>
                <w:color w:val="000000"/>
                <w:szCs w:val="20"/>
                <w:lang w:eastAsia="cs-CZ"/>
              </w:rPr>
              <w:t>a</w:t>
            </w:r>
            <w:r w:rsidRPr="000B34AE">
              <w:rPr>
                <w:rFonts w:ascii="Calibri" w:eastAsia="Times New Roman" w:hAnsi="Calibri" w:cs="Calibri"/>
                <w:color w:val="000000"/>
                <w:szCs w:val="20"/>
                <w:lang w:eastAsia="cs-CZ"/>
              </w:rPr>
              <w:t xml:space="preserve"> (Kč/m</w:t>
            </w:r>
            <w:r w:rsidRPr="000B34AE">
              <w:rPr>
                <w:rFonts w:ascii="Calibri" w:eastAsia="Times New Roman" w:hAnsi="Calibri" w:cs="Calibri"/>
                <w:color w:val="000000"/>
                <w:szCs w:val="20"/>
                <w:vertAlign w:val="superscript"/>
                <w:lang w:eastAsia="cs-CZ"/>
              </w:rPr>
              <w:t>2</w:t>
            </w:r>
            <w:r w:rsidRPr="000B34AE">
              <w:rPr>
                <w:rFonts w:ascii="Calibri" w:eastAsia="Times New Roman" w:hAnsi="Calibri" w:cs="Calibri"/>
                <w:color w:val="000000"/>
                <w:szCs w:val="20"/>
                <w:lang w:eastAsia="cs-CZ"/>
              </w:rPr>
              <w:t xml:space="preserve">/rok) </w:t>
            </w:r>
          </w:p>
        </w:tc>
        <w:tc>
          <w:tcPr>
            <w:tcW w:w="625" w:type="pct"/>
            <w:tcBorders>
              <w:top w:val="single" w:sz="4" w:space="0" w:color="auto"/>
              <w:left w:val="nil"/>
              <w:bottom w:val="single" w:sz="4" w:space="0" w:color="auto"/>
              <w:right w:val="single" w:sz="4" w:space="0" w:color="auto"/>
            </w:tcBorders>
            <w:shd w:val="clear" w:color="000000" w:fill="FFFF00"/>
            <w:vAlign w:val="center"/>
            <w:hideMark/>
          </w:tcPr>
          <w:p w:rsidR="00C53936" w:rsidRPr="000B34AE" w:rsidRDefault="00C53936" w:rsidP="003A77EE">
            <w:pPr>
              <w:keepNext/>
              <w:spacing w:after="0" w:line="240" w:lineRule="auto"/>
              <w:jc w:val="center"/>
              <w:rPr>
                <w:rFonts w:ascii="Calibri" w:eastAsia="Times New Roman" w:hAnsi="Calibri" w:cs="Calibri"/>
                <w:color w:val="000000"/>
                <w:szCs w:val="20"/>
                <w:lang w:eastAsia="cs-CZ"/>
              </w:rPr>
            </w:pPr>
            <w:bookmarkStart w:id="41" w:name="OLE_LINK2"/>
            <w:r w:rsidRPr="000B34AE">
              <w:rPr>
                <w:rFonts w:ascii="Calibri" w:eastAsia="Times New Roman" w:hAnsi="Calibri" w:cs="Calibri"/>
                <w:color w:val="000000"/>
                <w:szCs w:val="20"/>
                <w:lang w:eastAsia="cs-CZ"/>
              </w:rPr>
              <w:t>Celková cena za smlouvu za rok</w:t>
            </w:r>
            <w:bookmarkEnd w:id="41"/>
            <w:r w:rsidRPr="000B34AE">
              <w:rPr>
                <w:rFonts w:ascii="Calibri" w:eastAsia="Times New Roman" w:hAnsi="Calibri" w:cs="Calibri"/>
                <w:color w:val="000000"/>
                <w:szCs w:val="20"/>
                <w:lang w:eastAsia="cs-CZ"/>
              </w:rPr>
              <w:br/>
            </w:r>
            <w:r w:rsidRPr="000B34AE">
              <w:rPr>
                <w:rFonts w:ascii="Calibri" w:eastAsia="Times New Roman" w:hAnsi="Calibri" w:cs="Calibri"/>
                <w:i/>
                <w:iCs/>
                <w:color w:val="000000"/>
                <w:szCs w:val="20"/>
                <w:lang w:eastAsia="cs-CZ"/>
              </w:rPr>
              <w:t>nový sloupec</w:t>
            </w:r>
            <w:r>
              <w:rPr>
                <w:rFonts w:ascii="Calibri" w:eastAsia="Times New Roman" w:hAnsi="Calibri" w:cs="Calibri"/>
                <w:i/>
                <w:iCs/>
                <w:color w:val="000000"/>
                <w:szCs w:val="20"/>
                <w:lang w:eastAsia="cs-CZ"/>
              </w:rPr>
              <w:t xml:space="preserve"> (požadavek 4)</w:t>
            </w:r>
          </w:p>
        </w:tc>
      </w:tr>
    </w:tbl>
    <w:p w:rsidR="00C53936" w:rsidRDefault="00C53936" w:rsidP="00C53936">
      <w:pPr>
        <w:pStyle w:val="Titulek"/>
        <w:jc w:val="center"/>
      </w:pPr>
      <w:r>
        <w:t xml:space="preserve">Obrázek </w:t>
      </w:r>
      <w:r>
        <w:fldChar w:fldCharType="begin"/>
      </w:r>
      <w:r>
        <w:instrText xml:space="preserve"> SEQ Obrázek \* ARABIC </w:instrText>
      </w:r>
      <w:r>
        <w:fldChar w:fldCharType="separate"/>
      </w:r>
      <w:r>
        <w:rPr>
          <w:noProof/>
        </w:rPr>
        <w:t>1</w:t>
      </w:r>
      <w:r>
        <w:rPr>
          <w:noProof/>
        </w:rPr>
        <w:fldChar w:fldCharType="end"/>
      </w:r>
    </w:p>
    <w:p w:rsidR="00C53936" w:rsidRDefault="00C53936" w:rsidP="00C53936">
      <w:pPr>
        <w:pStyle w:val="Titulek"/>
        <w:jc w:val="center"/>
      </w:pPr>
    </w:p>
    <w:p w:rsidR="00C53936" w:rsidRDefault="00C53936" w:rsidP="00C53936">
      <w:pPr>
        <w:pStyle w:val="Titulek"/>
        <w:jc w:val="center"/>
      </w:pPr>
    </w:p>
    <w:p w:rsidR="00C53936" w:rsidRDefault="00C53936" w:rsidP="00C53936">
      <w:pPr>
        <w:pStyle w:val="Titulek"/>
        <w:jc w:val="center"/>
      </w:pPr>
    </w:p>
    <w:p w:rsidR="00C53936" w:rsidRDefault="00C53936" w:rsidP="00C53936">
      <w:pPr>
        <w:pStyle w:val="Titulek"/>
        <w:jc w:val="center"/>
      </w:pPr>
    </w:p>
    <w:p w:rsidR="00C53936" w:rsidRDefault="00C53936" w:rsidP="00C53936">
      <w:pPr>
        <w:pStyle w:val="Titulek"/>
        <w:jc w:val="center"/>
      </w:pPr>
    </w:p>
    <w:p w:rsidR="00C53936" w:rsidRPr="009D25CA" w:rsidRDefault="00C53936" w:rsidP="00C53936">
      <w:pPr>
        <w:pStyle w:val="Odstavecseseznamem"/>
        <w:autoSpaceDE w:val="0"/>
        <w:autoSpaceDN w:val="0"/>
        <w:adjustRightInd w:val="0"/>
        <w:spacing w:after="0" w:line="240" w:lineRule="auto"/>
        <w:ind w:left="999"/>
        <w:jc w:val="both"/>
        <w:rPr>
          <w:rFonts w:cs="Verdana"/>
          <w:color w:val="000000"/>
          <w:szCs w:val="20"/>
        </w:rPr>
      </w:pPr>
      <w:r>
        <w:rPr>
          <w:rFonts w:cs="Verdana"/>
          <w:color w:val="000000"/>
          <w:szCs w:val="20"/>
        </w:rPr>
        <w:t xml:space="preserve">Aktuální stav, </w:t>
      </w:r>
      <w:r w:rsidRPr="009D25CA">
        <w:rPr>
          <w:rFonts w:cs="Verdana"/>
          <w:color w:val="000000"/>
          <w:szCs w:val="20"/>
        </w:rPr>
        <w:t xml:space="preserve">kdy je rozpad na úrovni nájemního objektu zobrazuje na obrázek </w:t>
      </w:r>
      <w:proofErr w:type="gramStart"/>
      <w:r w:rsidRPr="009D25CA">
        <w:rPr>
          <w:rFonts w:cs="Verdana"/>
          <w:color w:val="000000"/>
          <w:szCs w:val="20"/>
        </w:rPr>
        <w:t>č.2.</w:t>
      </w:r>
      <w:proofErr w:type="gramEnd"/>
    </w:p>
    <w:p w:rsidR="00C53936" w:rsidRPr="009D25CA" w:rsidRDefault="00C53936" w:rsidP="00C53936">
      <w:pPr>
        <w:autoSpaceDE w:val="0"/>
        <w:autoSpaceDN w:val="0"/>
        <w:adjustRightInd w:val="0"/>
        <w:spacing w:after="0" w:line="240" w:lineRule="auto"/>
        <w:jc w:val="both"/>
        <w:rPr>
          <w:rFonts w:cs="Verdana"/>
          <w:color w:val="000000"/>
          <w:szCs w:val="20"/>
        </w:rPr>
      </w:pPr>
    </w:p>
    <w:p w:rsidR="00C53936" w:rsidRDefault="00C53936" w:rsidP="00C53936">
      <w:pPr>
        <w:pStyle w:val="Odstavecseseznamem"/>
        <w:autoSpaceDE w:val="0"/>
        <w:autoSpaceDN w:val="0"/>
        <w:adjustRightInd w:val="0"/>
        <w:spacing w:after="0" w:line="240" w:lineRule="auto"/>
        <w:ind w:left="792"/>
        <w:jc w:val="both"/>
        <w:rPr>
          <w:rFonts w:cs="Verdana"/>
          <w:color w:val="000000"/>
          <w:szCs w:val="20"/>
        </w:rPr>
      </w:pPr>
    </w:p>
    <w:p w:rsidR="00C53936" w:rsidRDefault="00C53936" w:rsidP="00533B01">
      <w:pPr>
        <w:pStyle w:val="Odstavecseseznamem"/>
        <w:autoSpaceDE w:val="0"/>
        <w:autoSpaceDN w:val="0"/>
        <w:adjustRightInd w:val="0"/>
        <w:spacing w:after="0" w:line="240" w:lineRule="auto"/>
        <w:ind w:left="0"/>
        <w:jc w:val="both"/>
        <w:rPr>
          <w:rFonts w:cs="Verdana"/>
          <w:color w:val="000000"/>
          <w:szCs w:val="20"/>
        </w:rPr>
      </w:pPr>
      <w:r w:rsidRPr="008C639C">
        <w:rPr>
          <w:rFonts w:cs="Verdana"/>
          <w:noProof/>
          <w:color w:val="000000"/>
          <w:szCs w:val="20"/>
          <w:lang w:eastAsia="cs-CZ"/>
        </w:rPr>
        <w:drawing>
          <wp:inline distT="0" distB="0" distL="0" distR="0" wp14:anchorId="1B723927" wp14:editId="080755B4">
            <wp:extent cx="5760720" cy="1824355"/>
            <wp:effectExtent l="0" t="0" r="0" b="444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1824355"/>
                    </a:xfrm>
                    <a:prstGeom prst="rect">
                      <a:avLst/>
                    </a:prstGeom>
                  </pic:spPr>
                </pic:pic>
              </a:graphicData>
            </a:graphic>
          </wp:inline>
        </w:drawing>
      </w:r>
    </w:p>
    <w:p w:rsidR="00C53936" w:rsidRPr="009D25CA" w:rsidRDefault="00C53936" w:rsidP="00C53936">
      <w:pPr>
        <w:pStyle w:val="Titulek"/>
        <w:jc w:val="center"/>
      </w:pPr>
      <w:r w:rsidRPr="009D25CA">
        <w:t>Obrázek 2</w:t>
      </w:r>
    </w:p>
    <w:p w:rsidR="00C53936" w:rsidRPr="00864E59" w:rsidRDefault="00C53936" w:rsidP="00C53936">
      <w:pPr>
        <w:pStyle w:val="Odstavecseseznamem"/>
        <w:numPr>
          <w:ilvl w:val="0"/>
          <w:numId w:val="5"/>
        </w:numPr>
        <w:autoSpaceDE w:val="0"/>
        <w:autoSpaceDN w:val="0"/>
        <w:adjustRightInd w:val="0"/>
        <w:spacing w:after="0" w:line="240" w:lineRule="auto"/>
        <w:rPr>
          <w:rStyle w:val="Nadpis3Char"/>
          <w:rFonts w:eastAsiaTheme="minorHAnsi" w:cstheme="minorBidi"/>
          <w:b w:val="0"/>
          <w:bCs/>
          <w:color w:val="000000"/>
          <w:szCs w:val="20"/>
        </w:rPr>
      </w:pPr>
      <w:r w:rsidRPr="00864E59">
        <w:rPr>
          <w:rStyle w:val="Nadpis3Char"/>
        </w:rPr>
        <w:t>Report 1A - Zobrazení seznamu vyfiltrovaných budov</w:t>
      </w:r>
    </w:p>
    <w:p w:rsidR="00C53936" w:rsidRPr="00C53936" w:rsidRDefault="00C53936" w:rsidP="00C53936">
      <w:pPr>
        <w:pStyle w:val="Odstavecseseznamem"/>
        <w:numPr>
          <w:ilvl w:val="1"/>
          <w:numId w:val="5"/>
        </w:numPr>
        <w:autoSpaceDE w:val="0"/>
        <w:autoSpaceDN w:val="0"/>
        <w:adjustRightInd w:val="0"/>
        <w:spacing w:after="0" w:line="240" w:lineRule="auto"/>
        <w:jc w:val="both"/>
        <w:rPr>
          <w:rFonts w:cs="Verdana"/>
          <w:color w:val="000000"/>
          <w:sz w:val="18"/>
          <w:szCs w:val="18"/>
        </w:rPr>
      </w:pPr>
      <w:r w:rsidRPr="00C53936">
        <w:rPr>
          <w:rFonts w:cs="Verdana"/>
          <w:color w:val="000000"/>
          <w:sz w:val="18"/>
          <w:szCs w:val="18"/>
        </w:rPr>
        <w:t>Aktuální stav: Report 1A nezobrazuje seznam budov, které splňují uživatelem zadaný filtr (OŘ, kraj…).</w:t>
      </w:r>
    </w:p>
    <w:p w:rsidR="00C53936" w:rsidRPr="00C53936" w:rsidRDefault="00C53936" w:rsidP="00C53936">
      <w:pPr>
        <w:pStyle w:val="Odstavecseseznamem"/>
        <w:numPr>
          <w:ilvl w:val="1"/>
          <w:numId w:val="5"/>
        </w:numPr>
        <w:autoSpaceDE w:val="0"/>
        <w:autoSpaceDN w:val="0"/>
        <w:adjustRightInd w:val="0"/>
        <w:spacing w:after="0" w:line="240" w:lineRule="auto"/>
        <w:jc w:val="both"/>
        <w:rPr>
          <w:rFonts w:cs="Verdana"/>
          <w:color w:val="000000"/>
          <w:sz w:val="18"/>
          <w:szCs w:val="18"/>
        </w:rPr>
      </w:pPr>
      <w:r w:rsidRPr="00C53936">
        <w:rPr>
          <w:rFonts w:cs="Verdana"/>
          <w:color w:val="000000"/>
          <w:sz w:val="18"/>
          <w:szCs w:val="18"/>
        </w:rPr>
        <w:t xml:space="preserve">Popis rozvojového požadavku: Uživatel bude mít možnost zobrazit informaci, které budovy splňují výběr dle filtru v reportu 1A.  Řešením je doplnění nové sekce reportu, která se nebude zobrazovat při prvním spuštění reportu. Konkrétní seznam budov bude dostupný přes tlačítko Seznam budov (řešení obdobné jako např. tlačítko Detail smluv v reportu 1B, umístění tlačítka viz obrázek 3). Tlačítko Seznam budov bude umístěno pod hodnotou položky Počet budov. Tato sekce bude obsahovat konkrétní seznam budov (jednoznačný identifikátor budovy, název budovy, </w:t>
      </w:r>
      <w:proofErr w:type="gramStart"/>
      <w:r w:rsidRPr="00C53936">
        <w:rPr>
          <w:rFonts w:cs="Verdana"/>
          <w:color w:val="000000"/>
          <w:sz w:val="18"/>
          <w:szCs w:val="18"/>
        </w:rPr>
        <w:t>OŘ ve</w:t>
      </w:r>
      <w:proofErr w:type="gramEnd"/>
      <w:r w:rsidRPr="00C53936">
        <w:rPr>
          <w:rFonts w:cs="Verdana"/>
          <w:color w:val="000000"/>
          <w:sz w:val="18"/>
          <w:szCs w:val="18"/>
        </w:rPr>
        <w:t xml:space="preserve"> které se budova nachází, případně další), který odpovídá filtru reportu. Tento seznam budov půjde vyexportovat ve formátu </w:t>
      </w:r>
      <w:proofErr w:type="spellStart"/>
      <w:r w:rsidRPr="00C53936">
        <w:rPr>
          <w:rFonts w:cs="Verdana"/>
          <w:color w:val="000000"/>
          <w:sz w:val="18"/>
          <w:szCs w:val="18"/>
        </w:rPr>
        <w:t>xls</w:t>
      </w:r>
      <w:proofErr w:type="spellEnd"/>
      <w:r w:rsidRPr="00C53936">
        <w:rPr>
          <w:rFonts w:cs="Verdana"/>
          <w:color w:val="000000"/>
          <w:sz w:val="18"/>
          <w:szCs w:val="18"/>
        </w:rPr>
        <w:t>.</w:t>
      </w:r>
    </w:p>
    <w:p w:rsidR="00C53936" w:rsidRPr="00C53936" w:rsidRDefault="00C53936" w:rsidP="00C53936">
      <w:pPr>
        <w:pStyle w:val="Odstavecseseznamem"/>
        <w:autoSpaceDE w:val="0"/>
        <w:autoSpaceDN w:val="0"/>
        <w:adjustRightInd w:val="0"/>
        <w:spacing w:after="0" w:line="240" w:lineRule="auto"/>
        <w:ind w:left="716"/>
        <w:jc w:val="both"/>
        <w:rPr>
          <w:rFonts w:cs="Verdana"/>
          <w:color w:val="000000"/>
          <w:sz w:val="18"/>
          <w:szCs w:val="18"/>
        </w:rPr>
      </w:pPr>
    </w:p>
    <w:p w:rsidR="00C53936" w:rsidRDefault="00C53936" w:rsidP="00C53936">
      <w:pPr>
        <w:pStyle w:val="Odstavecseseznamem"/>
        <w:autoSpaceDE w:val="0"/>
        <w:autoSpaceDN w:val="0"/>
        <w:adjustRightInd w:val="0"/>
        <w:spacing w:after="0" w:line="240" w:lineRule="auto"/>
        <w:ind w:left="716"/>
        <w:jc w:val="both"/>
        <w:rPr>
          <w:rFonts w:cs="Verdana"/>
          <w:color w:val="000000"/>
          <w:szCs w:val="20"/>
        </w:rPr>
      </w:pPr>
    </w:p>
    <w:p w:rsidR="00C53936" w:rsidRDefault="00C53936" w:rsidP="00533B01">
      <w:pPr>
        <w:pStyle w:val="Odstavecseseznamem"/>
        <w:autoSpaceDE w:val="0"/>
        <w:autoSpaceDN w:val="0"/>
        <w:adjustRightInd w:val="0"/>
        <w:spacing w:after="0" w:line="240" w:lineRule="auto"/>
        <w:ind w:left="0"/>
        <w:jc w:val="both"/>
        <w:rPr>
          <w:rFonts w:cs="Verdana"/>
          <w:color w:val="000000"/>
          <w:szCs w:val="20"/>
        </w:rPr>
      </w:pPr>
      <w:r w:rsidRPr="00887052">
        <w:rPr>
          <w:rFonts w:cs="Verdana"/>
          <w:noProof/>
          <w:color w:val="000000"/>
          <w:szCs w:val="20"/>
          <w:lang w:eastAsia="cs-CZ"/>
        </w:rPr>
        <mc:AlternateContent>
          <mc:Choice Requires="wps">
            <w:drawing>
              <wp:anchor distT="0" distB="0" distL="114300" distR="114300" simplePos="0" relativeHeight="251660288" behindDoc="0" locked="0" layoutInCell="1" allowOverlap="1" wp14:anchorId="1C6F8746" wp14:editId="7DA55AB3">
                <wp:simplePos x="0" y="0"/>
                <wp:positionH relativeFrom="column">
                  <wp:posOffset>605155</wp:posOffset>
                </wp:positionH>
                <wp:positionV relativeFrom="paragraph">
                  <wp:posOffset>919480</wp:posOffset>
                </wp:positionV>
                <wp:extent cx="885825" cy="247650"/>
                <wp:effectExtent l="0" t="0" r="9525" b="0"/>
                <wp:wrapNone/>
                <wp:docPr id="4" name="TextovéPole 4"/>
                <wp:cNvGraphicFramePr/>
                <a:graphic xmlns:a="http://schemas.openxmlformats.org/drawingml/2006/main">
                  <a:graphicData uri="http://schemas.microsoft.com/office/word/2010/wordprocessingShape">
                    <wps:wsp>
                      <wps:cNvSpPr txBox="1"/>
                      <wps:spPr>
                        <a:xfrm>
                          <a:off x="0" y="0"/>
                          <a:ext cx="885825" cy="247650"/>
                        </a:xfrm>
                        <a:prstGeom prst="rect">
                          <a:avLst/>
                        </a:prstGeom>
                        <a:solidFill>
                          <a:schemeClr val="accent1"/>
                        </a:solidFill>
                      </wps:spPr>
                      <wps:txbx>
                        <w:txbxContent>
                          <w:p w:rsidR="00C53936" w:rsidRPr="009D25CA" w:rsidRDefault="00C53936" w:rsidP="00C53936">
                            <w:pPr>
                              <w:pStyle w:val="Normlnweb"/>
                              <w:spacing w:after="0"/>
                              <w:rPr>
                                <w:rFonts w:asciiTheme="minorHAnsi" w:hAnsi="Calibri" w:cstheme="minorBidi"/>
                                <w:sz w:val="16"/>
                                <w:szCs w:val="16"/>
                              </w:rPr>
                            </w:pPr>
                            <w:r>
                              <w:rPr>
                                <w:rFonts w:asciiTheme="minorHAnsi" w:hAnsi="Calibri" w:cstheme="minorBidi"/>
                                <w:color w:val="000000" w:themeColor="text1"/>
                                <w:kern w:val="24"/>
                                <w:sz w:val="16"/>
                                <w:szCs w:val="16"/>
                              </w:rPr>
                              <w:t>Seznam budov</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1C6F8746" id="_x0000_t202" coordsize="21600,21600" o:spt="202" path="m,l,21600r21600,l21600,xe">
                <v:stroke joinstyle="miter"/>
                <v:path gradientshapeok="t" o:connecttype="rect"/>
              </v:shapetype>
              <v:shape id="TextovéPole 4" o:spid="_x0000_s1026" type="#_x0000_t202" style="position:absolute;left:0;text-align:left;margin-left:47.65pt;margin-top:72.4pt;width:69.7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VCdswEAAD0DAAAOAAAAZHJzL2Uyb0RvYy54bWysUs1uGyEQvlfqOyDuNY5lp9bK66hNlF6q&#10;NlKSB8Ds4EUChgLeXT9Sn6Mv1gE7TtTeql6A+fv4vpnZ3EzOsgFiMuhbfjWbcwZeYWf8vuXPT/cf&#10;1pylLH0nLXpo+RESv9m+f7cZQwML7NF2EBmB+NSMoeV9zqERIqkenEwzDOApqDE6mcmMe9FFORK6&#10;s2Ixn1+LEWMXIipIibx3pyDfVnytQeXvWifIzLacuOV6xnruyim2G9nsowy9UWca8h9YOGk8fXqB&#10;upNZskM0f0E5oyIm1Hmm0AnU2iioGkjN1fwPNY+9DFC1UHNSuLQp/T9Y9W14iMx0LV9y5qWjET3B&#10;lHH49fMBLbBl6dAYUkOJj4FS8/QZJ5r0iz+RswifdHTlJkmM4tTr46W/BMgUOdfr1Xqx4kxRaLH8&#10;eL2q/RevxSGm/AXQsfJoeaTx1a7K4WvKRIRSX1LKXwmt6e6NtdUoKwO3NrJB0rClUuBzpUlVbzJF&#10;UXNiXV552k1niTvsjqRwpG1oefpxkBE4i9neYl2e8onHT4eM2lQypfxUQ8yKQTOqHM/7VJbgrV2z&#10;Xrd++xsAAP//AwBQSwMEFAAGAAgAAAAhAKViifDeAAAACgEAAA8AAABkcnMvZG93bnJldi54bWxM&#10;j81OwzAQhO9IvIO1SNyoQ10ghDgVQkKCU6E/4rqNTRI1Xkexm5q3Z3uC2+7saPabcplcLyY7hs6T&#10;httZBsJS7U1HjYbt5vUmBxEiksHek9XwYwMsq8uLEgvjT/Rpp3VsBIdQKFBDG+NQSBnq1joMMz9Y&#10;4tu3Hx1GXsdGmhFPHO56Oc+ye+mwI/7Q4mBfWlsf1kenYTo8fL2/jR9ut0lb3Cm/Uk1aaX19lZ6f&#10;QESb4p8ZzviMDhUz7f2RTBC9hsc7xU7WFwuuwIa5Og97VnKVg6xK+b9C9QsAAP//AwBQSwECLQAU&#10;AAYACAAAACEAtoM4kv4AAADhAQAAEwAAAAAAAAAAAAAAAAAAAAAAW0NvbnRlbnRfVHlwZXNdLnht&#10;bFBLAQItABQABgAIAAAAIQA4/SH/1gAAAJQBAAALAAAAAAAAAAAAAAAAAC8BAABfcmVscy8ucmVs&#10;c1BLAQItABQABgAIAAAAIQB7PVCdswEAAD0DAAAOAAAAAAAAAAAAAAAAAC4CAABkcnMvZTJvRG9j&#10;LnhtbFBLAQItABQABgAIAAAAIQClYonw3gAAAAoBAAAPAAAAAAAAAAAAAAAAAA0EAABkcnMvZG93&#10;bnJldi54bWxQSwUGAAAAAAQABADzAAAAGAUAAAAA&#10;" fillcolor="#002b59 [3204]" stroked="f">
                <v:textbox>
                  <w:txbxContent>
                    <w:p w:rsidR="00C53936" w:rsidRPr="009D25CA" w:rsidRDefault="00C53936" w:rsidP="00C53936">
                      <w:pPr>
                        <w:pStyle w:val="Normlnweb"/>
                        <w:spacing w:after="0"/>
                        <w:rPr>
                          <w:rFonts w:asciiTheme="minorHAnsi" w:hAnsi="Calibri" w:cstheme="minorBidi"/>
                          <w:sz w:val="16"/>
                          <w:szCs w:val="16"/>
                        </w:rPr>
                      </w:pPr>
                      <w:r>
                        <w:rPr>
                          <w:rFonts w:asciiTheme="minorHAnsi" w:hAnsi="Calibri" w:cstheme="minorBidi"/>
                          <w:color w:val="000000" w:themeColor="text1"/>
                          <w:kern w:val="24"/>
                          <w:sz w:val="16"/>
                          <w:szCs w:val="16"/>
                        </w:rPr>
                        <w:t>Seznam budov</w:t>
                      </w:r>
                    </w:p>
                  </w:txbxContent>
                </v:textbox>
              </v:shape>
            </w:pict>
          </mc:Fallback>
        </mc:AlternateContent>
      </w:r>
      <w:r w:rsidRPr="00887052">
        <w:rPr>
          <w:rFonts w:cs="Verdana"/>
          <w:noProof/>
          <w:color w:val="000000"/>
          <w:szCs w:val="20"/>
          <w:lang w:eastAsia="cs-CZ"/>
        </w:rPr>
        <w:drawing>
          <wp:inline distT="0" distB="0" distL="0" distR="0" wp14:anchorId="4B956FCD" wp14:editId="3EEEDF2B">
            <wp:extent cx="5760720" cy="1438275"/>
            <wp:effectExtent l="0" t="0" r="0" b="9525"/>
            <wp:docPr id="11"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3"/>
                    <pic:cNvPicPr>
                      <a:picLocks noChangeAspect="1"/>
                    </pic:cNvPicPr>
                  </pic:nvPicPr>
                  <pic:blipFill>
                    <a:blip r:embed="rId12"/>
                    <a:stretch>
                      <a:fillRect/>
                    </a:stretch>
                  </pic:blipFill>
                  <pic:spPr>
                    <a:xfrm>
                      <a:off x="0" y="0"/>
                      <a:ext cx="5760720" cy="1438275"/>
                    </a:xfrm>
                    <a:prstGeom prst="rect">
                      <a:avLst/>
                    </a:prstGeom>
                  </pic:spPr>
                </pic:pic>
              </a:graphicData>
            </a:graphic>
          </wp:inline>
        </w:drawing>
      </w:r>
    </w:p>
    <w:p w:rsidR="00C53936" w:rsidRPr="009D25CA" w:rsidRDefault="00C53936" w:rsidP="00C53936">
      <w:pPr>
        <w:pStyle w:val="Titulek"/>
        <w:jc w:val="center"/>
      </w:pPr>
      <w:r w:rsidRPr="009D25CA">
        <w:t>Obrázek 3</w:t>
      </w:r>
    </w:p>
    <w:p w:rsidR="00C53936" w:rsidRPr="009D25CA" w:rsidRDefault="00C53936" w:rsidP="00C53936">
      <w:pPr>
        <w:autoSpaceDE w:val="0"/>
        <w:autoSpaceDN w:val="0"/>
        <w:adjustRightInd w:val="0"/>
        <w:spacing w:after="0" w:line="240" w:lineRule="auto"/>
        <w:ind w:left="284"/>
        <w:jc w:val="both"/>
        <w:rPr>
          <w:rFonts w:cs="Verdana"/>
          <w:color w:val="000000"/>
          <w:szCs w:val="20"/>
        </w:rPr>
      </w:pPr>
    </w:p>
    <w:p w:rsidR="00C53936" w:rsidRPr="00864E59" w:rsidRDefault="00C53936" w:rsidP="00C53936">
      <w:pPr>
        <w:pStyle w:val="Odstavecseseznamem"/>
        <w:numPr>
          <w:ilvl w:val="0"/>
          <w:numId w:val="5"/>
        </w:numPr>
        <w:shd w:val="clear" w:color="auto" w:fill="FFFFFF"/>
        <w:rPr>
          <w:rStyle w:val="Nadpis3Char"/>
          <w:rFonts w:eastAsiaTheme="minorHAnsi" w:cs="Verdana"/>
          <w:b w:val="0"/>
          <w:color w:val="auto"/>
          <w:szCs w:val="20"/>
        </w:rPr>
      </w:pPr>
      <w:r w:rsidRPr="00864E59">
        <w:rPr>
          <w:rStyle w:val="Nadpis3Char"/>
        </w:rPr>
        <w:t>Report 1A - Zobrazení detailu k jednotlivým budovám</w:t>
      </w:r>
    </w:p>
    <w:p w:rsidR="00C53936" w:rsidRPr="00C53936" w:rsidRDefault="00C53936" w:rsidP="00C53936">
      <w:pPr>
        <w:pStyle w:val="Odstavecseseznamem"/>
        <w:numPr>
          <w:ilvl w:val="1"/>
          <w:numId w:val="5"/>
        </w:numPr>
        <w:autoSpaceDE w:val="0"/>
        <w:autoSpaceDN w:val="0"/>
        <w:adjustRightInd w:val="0"/>
        <w:spacing w:after="0" w:line="240" w:lineRule="auto"/>
        <w:jc w:val="both"/>
        <w:rPr>
          <w:rFonts w:cs="Verdana"/>
          <w:color w:val="000000"/>
          <w:sz w:val="18"/>
          <w:szCs w:val="18"/>
        </w:rPr>
      </w:pPr>
      <w:r w:rsidRPr="00C53936">
        <w:rPr>
          <w:rFonts w:cs="Verdana"/>
          <w:color w:val="000000"/>
          <w:sz w:val="18"/>
          <w:szCs w:val="18"/>
        </w:rPr>
        <w:t xml:space="preserve">Aktuální stav: Report 1A zobrazuje pouze souhrnné informace (data), neposkytuje možnost "rozbalit" jednotlivé položky a jít do detailu budov. To umožňuje pouze report 1B. </w:t>
      </w:r>
    </w:p>
    <w:p w:rsidR="00C53936" w:rsidRDefault="00C53936" w:rsidP="00C53936">
      <w:pPr>
        <w:pStyle w:val="Odstavecseseznamem"/>
        <w:numPr>
          <w:ilvl w:val="1"/>
          <w:numId w:val="5"/>
        </w:numPr>
        <w:autoSpaceDE w:val="0"/>
        <w:autoSpaceDN w:val="0"/>
        <w:adjustRightInd w:val="0"/>
        <w:spacing w:after="0" w:line="240" w:lineRule="auto"/>
        <w:jc w:val="both"/>
        <w:rPr>
          <w:rFonts w:cs="Verdana"/>
          <w:color w:val="000000"/>
          <w:sz w:val="18"/>
          <w:szCs w:val="18"/>
        </w:rPr>
      </w:pPr>
      <w:r w:rsidRPr="00C53936">
        <w:rPr>
          <w:rFonts w:cs="Verdana"/>
          <w:color w:val="000000"/>
          <w:sz w:val="18"/>
          <w:szCs w:val="18"/>
        </w:rPr>
        <w:t xml:space="preserve">Popis rozvojového požadavku: Na základě dodané funkcionality z bodu 2 bude z části reportu 1A Seznam budov možný </w:t>
      </w:r>
      <w:proofErr w:type="spellStart"/>
      <w:r w:rsidRPr="00C53936">
        <w:rPr>
          <w:rFonts w:cs="Verdana"/>
          <w:color w:val="000000"/>
          <w:sz w:val="18"/>
          <w:szCs w:val="18"/>
        </w:rPr>
        <w:t>proklik</w:t>
      </w:r>
      <w:proofErr w:type="spellEnd"/>
      <w:r w:rsidRPr="00C53936">
        <w:rPr>
          <w:rFonts w:cs="Verdana"/>
          <w:color w:val="000000"/>
          <w:sz w:val="18"/>
          <w:szCs w:val="18"/>
        </w:rPr>
        <w:t xml:space="preserve"> z konkrétní budovy na report 1B. Do reportu 1B se přenese filtr dané konkrétní budovy, tzn. kliknutím na název budovy v reportu 1A (v tabulce Seznam budov implementované na základě požadavku č. 2) se uživatel přenese na detail konkrétní budovy (bez nutnosti manuálního nastavení filtru). </w:t>
      </w:r>
    </w:p>
    <w:p w:rsidR="00533B01" w:rsidRPr="00C53936" w:rsidRDefault="00533B01" w:rsidP="00533B01">
      <w:pPr>
        <w:pStyle w:val="Odstavecseseznamem"/>
        <w:autoSpaceDE w:val="0"/>
        <w:autoSpaceDN w:val="0"/>
        <w:adjustRightInd w:val="0"/>
        <w:spacing w:after="0" w:line="240" w:lineRule="auto"/>
        <w:ind w:left="1424"/>
        <w:jc w:val="both"/>
        <w:rPr>
          <w:rFonts w:cs="Verdana"/>
          <w:color w:val="000000"/>
          <w:sz w:val="18"/>
          <w:szCs w:val="18"/>
        </w:rPr>
      </w:pPr>
    </w:p>
    <w:p w:rsidR="00C53936" w:rsidRPr="00864E59" w:rsidRDefault="00C53936" w:rsidP="00C53936">
      <w:pPr>
        <w:pStyle w:val="Odstavecseseznamem"/>
        <w:numPr>
          <w:ilvl w:val="0"/>
          <w:numId w:val="5"/>
        </w:numPr>
        <w:shd w:val="clear" w:color="auto" w:fill="FFFFFF"/>
        <w:rPr>
          <w:rStyle w:val="Nadpis3Char"/>
        </w:rPr>
      </w:pPr>
      <w:r w:rsidRPr="00864E59">
        <w:rPr>
          <w:rStyle w:val="Nadpis3Char"/>
        </w:rPr>
        <w:t>Přehled nájemních smluv</w:t>
      </w:r>
      <w:r>
        <w:rPr>
          <w:rStyle w:val="Nadpis3Char"/>
        </w:rPr>
        <w:t xml:space="preserve"> v reportu 1B (sekce V.)</w:t>
      </w:r>
      <w:r w:rsidRPr="00864E59">
        <w:rPr>
          <w:rStyle w:val="Nadpis3Char"/>
        </w:rPr>
        <w:t xml:space="preserve"> - </w:t>
      </w:r>
      <w:r w:rsidRPr="009D25CA">
        <w:rPr>
          <w:rStyle w:val="Nadpis3Char"/>
        </w:rPr>
        <w:t>Celková cena za smlouvu za rok</w:t>
      </w:r>
    </w:p>
    <w:p w:rsidR="00C53936" w:rsidRPr="00C53936" w:rsidRDefault="00C53936" w:rsidP="00C53936">
      <w:pPr>
        <w:pStyle w:val="Odstavecseseznamem"/>
        <w:numPr>
          <w:ilvl w:val="1"/>
          <w:numId w:val="5"/>
        </w:numPr>
        <w:autoSpaceDE w:val="0"/>
        <w:autoSpaceDN w:val="0"/>
        <w:adjustRightInd w:val="0"/>
        <w:spacing w:after="0" w:line="240" w:lineRule="auto"/>
        <w:jc w:val="both"/>
        <w:rPr>
          <w:rFonts w:cs="Verdana"/>
          <w:color w:val="000000"/>
          <w:sz w:val="18"/>
          <w:szCs w:val="18"/>
        </w:rPr>
      </w:pPr>
      <w:r w:rsidRPr="00C53936">
        <w:rPr>
          <w:rFonts w:cs="Verdana"/>
          <w:color w:val="000000"/>
          <w:sz w:val="18"/>
          <w:szCs w:val="18"/>
        </w:rPr>
        <w:lastRenderedPageBreak/>
        <w:t>Aktuální stav: V současném reportu požadovaný sloupec chybí</w:t>
      </w:r>
    </w:p>
    <w:p w:rsidR="00C53936" w:rsidRPr="00C53936" w:rsidRDefault="00C53936" w:rsidP="00C53936">
      <w:pPr>
        <w:pStyle w:val="Odstavecseseznamem"/>
        <w:numPr>
          <w:ilvl w:val="1"/>
          <w:numId w:val="5"/>
        </w:numPr>
        <w:autoSpaceDE w:val="0"/>
        <w:autoSpaceDN w:val="0"/>
        <w:adjustRightInd w:val="0"/>
        <w:spacing w:after="0" w:line="240" w:lineRule="auto"/>
        <w:jc w:val="both"/>
        <w:rPr>
          <w:rFonts w:cs="Verdana"/>
          <w:color w:val="000000"/>
          <w:sz w:val="18"/>
          <w:szCs w:val="18"/>
        </w:rPr>
      </w:pPr>
      <w:r w:rsidRPr="00C53936">
        <w:rPr>
          <w:rFonts w:cs="Verdana"/>
          <w:color w:val="000000"/>
          <w:sz w:val="18"/>
          <w:szCs w:val="18"/>
        </w:rPr>
        <w:t>Popis rozvojového požadavku: Doplnění nového sloupce Celková cena za smlouvu za rok, sloupec bude doplněn do všech sekcí (byty, komerční, dopravci). Umístění sloupce viz obrázek 4.</w:t>
      </w:r>
    </w:p>
    <w:p w:rsidR="00C53936" w:rsidRDefault="00C53936" w:rsidP="00533B01">
      <w:pPr>
        <w:pStyle w:val="Odstavecseseznamem"/>
        <w:autoSpaceDE w:val="0"/>
        <w:autoSpaceDN w:val="0"/>
        <w:adjustRightInd w:val="0"/>
        <w:spacing w:after="0" w:line="240" w:lineRule="auto"/>
        <w:ind w:left="0"/>
        <w:jc w:val="both"/>
        <w:rPr>
          <w:rFonts w:cs="Verdana"/>
          <w:color w:val="000000"/>
          <w:szCs w:val="20"/>
        </w:rPr>
      </w:pPr>
      <w:r w:rsidRPr="00887052">
        <w:rPr>
          <w:rFonts w:cs="Verdana"/>
          <w:noProof/>
          <w:color w:val="000000"/>
          <w:szCs w:val="20"/>
          <w:lang w:eastAsia="cs-CZ"/>
        </w:rPr>
        <mc:AlternateContent>
          <mc:Choice Requires="wps">
            <w:drawing>
              <wp:anchor distT="0" distB="0" distL="114300" distR="114300" simplePos="0" relativeHeight="251659264" behindDoc="0" locked="0" layoutInCell="1" allowOverlap="1" wp14:anchorId="6CF44A56" wp14:editId="72D4BDA6">
                <wp:simplePos x="0" y="0"/>
                <wp:positionH relativeFrom="column">
                  <wp:posOffset>4843780</wp:posOffset>
                </wp:positionH>
                <wp:positionV relativeFrom="paragraph">
                  <wp:posOffset>85090</wp:posOffset>
                </wp:positionV>
                <wp:extent cx="885825" cy="400050"/>
                <wp:effectExtent l="0" t="0" r="9525" b="0"/>
                <wp:wrapNone/>
                <wp:docPr id="5" name="TextovéPole 4"/>
                <wp:cNvGraphicFramePr/>
                <a:graphic xmlns:a="http://schemas.openxmlformats.org/drawingml/2006/main">
                  <a:graphicData uri="http://schemas.microsoft.com/office/word/2010/wordprocessingShape">
                    <wps:wsp>
                      <wps:cNvSpPr txBox="1"/>
                      <wps:spPr>
                        <a:xfrm>
                          <a:off x="0" y="0"/>
                          <a:ext cx="885825" cy="400050"/>
                        </a:xfrm>
                        <a:prstGeom prst="rect">
                          <a:avLst/>
                        </a:prstGeom>
                        <a:solidFill>
                          <a:schemeClr val="accent1"/>
                        </a:solidFill>
                      </wps:spPr>
                      <wps:txbx>
                        <w:txbxContent>
                          <w:p w:rsidR="00C53936" w:rsidRPr="009D25CA" w:rsidRDefault="00C53936" w:rsidP="00C53936">
                            <w:pPr>
                              <w:pStyle w:val="Normlnweb"/>
                              <w:spacing w:after="0"/>
                              <w:rPr>
                                <w:rFonts w:asciiTheme="minorHAnsi" w:hAnsi="Calibri" w:cstheme="minorBidi"/>
                                <w:sz w:val="16"/>
                                <w:szCs w:val="16"/>
                              </w:rPr>
                            </w:pPr>
                            <w:r w:rsidRPr="0016686A">
                              <w:rPr>
                                <w:rFonts w:asciiTheme="minorHAnsi" w:hAnsi="Calibri" w:cstheme="minorBidi"/>
                                <w:color w:val="000000" w:themeColor="text1"/>
                                <w:kern w:val="24"/>
                                <w:sz w:val="16"/>
                                <w:szCs w:val="16"/>
                              </w:rPr>
                              <w:t>Celkov</w:t>
                            </w:r>
                            <w:r>
                              <w:rPr>
                                <w:rFonts w:asciiTheme="minorHAnsi" w:hAnsi="Calibri" w:cstheme="minorBidi"/>
                                <w:color w:val="000000" w:themeColor="text1"/>
                                <w:kern w:val="24"/>
                                <w:sz w:val="16"/>
                                <w:szCs w:val="16"/>
                              </w:rPr>
                              <w:t>á</w:t>
                            </w:r>
                            <w:r>
                              <w:rPr>
                                <w:rFonts w:asciiTheme="minorHAnsi" w:hAnsi="Calibri" w:cstheme="minorBidi"/>
                                <w:color w:val="000000" w:themeColor="text1"/>
                                <w:kern w:val="24"/>
                                <w:sz w:val="16"/>
                                <w:szCs w:val="16"/>
                              </w:rPr>
                              <w:t xml:space="preserve"> cena</w:t>
                            </w:r>
                            <w:r w:rsidRPr="009D25CA">
                              <w:rPr>
                                <w:rFonts w:asciiTheme="minorHAnsi" w:hAnsi="Calibri" w:cstheme="minorBidi"/>
                                <w:color w:val="000000" w:themeColor="text1"/>
                                <w:kern w:val="24"/>
                                <w:sz w:val="16"/>
                                <w:szCs w:val="16"/>
                              </w:rPr>
                              <w:t xml:space="preserve"> za </w:t>
                            </w:r>
                            <w:r>
                              <w:rPr>
                                <w:rFonts w:asciiTheme="minorHAnsi" w:hAnsi="Calibri" w:cstheme="minorBidi"/>
                                <w:sz w:val="16"/>
                                <w:szCs w:val="16"/>
                              </w:rPr>
                              <w:t>smlouvu za rok</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CF44A56" id="_x0000_s1027" type="#_x0000_t202" style="position:absolute;left:0;text-align:left;margin-left:381.4pt;margin-top:6.7pt;width:69.7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2h0tAEAAEQDAAAOAAAAZHJzL2Uyb0RvYy54bWysUs1uGyEQvlfqOyDuNRsrrqyV11GbKL1U&#10;baQkD4DZwYsEDAW8u36kPkdfrANOnKi9RbkA88M33zczm6vZWTZCTAZ9xy8WDWfgFfbG7zv++HD7&#10;ac1ZytL30qKHjh8h8avtxw+bKbSwxAFtD5ERiE/tFDo+5BxaIZIawMm0wACeghqjk5nMuBd9lBOh&#10;OyuWTfNZTBj7EFFBSuS9OQX5tuJrDSr/1DpBZrbjxC3XM9ZzV06x3ch2H2UYjHqiId/AwknjqegZ&#10;6kZmyQ7R/AfljIqYUOeFQidQa6OgaiA1F80/au4HGaBqoeakcG5Tej9Y9WO8i8z0HV9x5qWjET3A&#10;nHH88/sOLbDL0qEppJYS7wOl5vkrzjTpZ38iZxE+6+jKTZIYxanXx3N/CZApcq7Xq/WS6igKXTZN&#10;s6r9Fy+fQ0z5G6Bj5dHxSOOrXZXj95SJCKU+p5RaCa3pb4211SgrA9c2slHSsKVS4HOlSb9eZYqi&#10;5sS6vPK8m6v+s6Id9kcSOtFSdDz9OsgInMVsr7HuUKnl8cshozaVU0E5/SGCxaBRVapPa1V24bVd&#10;s16Wf/sXAAD//wMAUEsDBBQABgAIAAAAIQBKnXNh3gAAAAkBAAAPAAAAZHJzL2Rvd25yZXYueG1s&#10;TI/LTsMwEEX3SPyDNUjsqENStRDiVAgJCVaFPsR2Gg9J1Hgc2W5q/h53BcvRubr3TLWKZhATOd9b&#10;VnA/y0AQN1b33CrYbV/vHkD4gKxxsEwKfsjDqr6+qrDU9syfNG1CK1IJ+xIVdCGMpZS+6cign9mR&#10;OLFv6wyGdLpWaofnVG4GmWfZQhrsOS10ONJLR81xczIKpuPy6/3NfZj9Nu5wX9h10ca1Urc38fkJ&#10;RKAY/sJw0U/qUCengz2x9mJQsFzkST0kUMxBpMBjlhcgDhcyB1lX8v8H9S8AAAD//wMAUEsBAi0A&#10;FAAGAAgAAAAhALaDOJL+AAAA4QEAABMAAAAAAAAAAAAAAAAAAAAAAFtDb250ZW50X1R5cGVzXS54&#10;bWxQSwECLQAUAAYACAAAACEAOP0h/9YAAACUAQAACwAAAAAAAAAAAAAAAAAvAQAAX3JlbHMvLnJl&#10;bHNQSwECLQAUAAYACAAAACEAyutodLQBAABEAwAADgAAAAAAAAAAAAAAAAAuAgAAZHJzL2Uyb0Rv&#10;Yy54bWxQSwECLQAUAAYACAAAACEASp1zYd4AAAAJAQAADwAAAAAAAAAAAAAAAAAOBAAAZHJzL2Rv&#10;d25yZXYueG1sUEsFBgAAAAAEAAQA8wAAABkFAAAAAA==&#10;" fillcolor="#002b59 [3204]" stroked="f">
                <v:textbox>
                  <w:txbxContent>
                    <w:p w:rsidR="00C53936" w:rsidRPr="009D25CA" w:rsidRDefault="00C53936" w:rsidP="00C53936">
                      <w:pPr>
                        <w:pStyle w:val="Normlnweb"/>
                        <w:spacing w:after="0"/>
                        <w:rPr>
                          <w:rFonts w:asciiTheme="minorHAnsi" w:hAnsi="Calibri" w:cstheme="minorBidi"/>
                          <w:sz w:val="16"/>
                          <w:szCs w:val="16"/>
                        </w:rPr>
                      </w:pPr>
                      <w:r w:rsidRPr="0016686A">
                        <w:rPr>
                          <w:rFonts w:asciiTheme="minorHAnsi" w:hAnsi="Calibri" w:cstheme="minorBidi"/>
                          <w:color w:val="000000" w:themeColor="text1"/>
                          <w:kern w:val="24"/>
                          <w:sz w:val="16"/>
                          <w:szCs w:val="16"/>
                        </w:rPr>
                        <w:t>Celkov</w:t>
                      </w:r>
                      <w:r>
                        <w:rPr>
                          <w:rFonts w:asciiTheme="minorHAnsi" w:hAnsi="Calibri" w:cstheme="minorBidi"/>
                          <w:color w:val="000000" w:themeColor="text1"/>
                          <w:kern w:val="24"/>
                          <w:sz w:val="16"/>
                          <w:szCs w:val="16"/>
                        </w:rPr>
                        <w:t>á</w:t>
                      </w:r>
                      <w:r>
                        <w:rPr>
                          <w:rFonts w:asciiTheme="minorHAnsi" w:hAnsi="Calibri" w:cstheme="minorBidi"/>
                          <w:color w:val="000000" w:themeColor="text1"/>
                          <w:kern w:val="24"/>
                          <w:sz w:val="16"/>
                          <w:szCs w:val="16"/>
                        </w:rPr>
                        <w:t xml:space="preserve"> cena</w:t>
                      </w:r>
                      <w:r w:rsidRPr="009D25CA">
                        <w:rPr>
                          <w:rFonts w:asciiTheme="minorHAnsi" w:hAnsi="Calibri" w:cstheme="minorBidi"/>
                          <w:color w:val="000000" w:themeColor="text1"/>
                          <w:kern w:val="24"/>
                          <w:sz w:val="16"/>
                          <w:szCs w:val="16"/>
                        </w:rPr>
                        <w:t xml:space="preserve"> za </w:t>
                      </w:r>
                      <w:r>
                        <w:rPr>
                          <w:rFonts w:asciiTheme="minorHAnsi" w:hAnsi="Calibri" w:cstheme="minorBidi"/>
                          <w:sz w:val="16"/>
                          <w:szCs w:val="16"/>
                        </w:rPr>
                        <w:t>smlouvu za rok</w:t>
                      </w:r>
                    </w:p>
                  </w:txbxContent>
                </v:textbox>
              </v:shape>
            </w:pict>
          </mc:Fallback>
        </mc:AlternateContent>
      </w:r>
      <w:r w:rsidRPr="00566F0B">
        <w:rPr>
          <w:rFonts w:cs="Verdana"/>
          <w:noProof/>
          <w:color w:val="000000"/>
          <w:szCs w:val="20"/>
          <w:lang w:eastAsia="cs-CZ"/>
        </w:rPr>
        <w:drawing>
          <wp:inline distT="0" distB="0" distL="0" distR="0" wp14:anchorId="667C859C" wp14:editId="521E98B3">
            <wp:extent cx="4824000" cy="135720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824000" cy="1357200"/>
                    </a:xfrm>
                    <a:prstGeom prst="rect">
                      <a:avLst/>
                    </a:prstGeom>
                  </pic:spPr>
                </pic:pic>
              </a:graphicData>
            </a:graphic>
          </wp:inline>
        </w:drawing>
      </w:r>
    </w:p>
    <w:p w:rsidR="00C53936" w:rsidRPr="003B763E" w:rsidRDefault="00C53936" w:rsidP="00C53936">
      <w:pPr>
        <w:pStyle w:val="Titulek"/>
        <w:jc w:val="center"/>
      </w:pPr>
      <w:r w:rsidRPr="009D25CA">
        <w:t>Obrázek 4</w:t>
      </w:r>
    </w:p>
    <w:p w:rsidR="00C53936" w:rsidRPr="00083D07" w:rsidRDefault="00C53936" w:rsidP="00C53936">
      <w:pPr>
        <w:autoSpaceDE w:val="0"/>
        <w:autoSpaceDN w:val="0"/>
        <w:adjustRightInd w:val="0"/>
        <w:spacing w:after="0" w:line="240" w:lineRule="auto"/>
        <w:rPr>
          <w:rFonts w:cs="Verdana"/>
          <w:color w:val="000000"/>
          <w:szCs w:val="20"/>
        </w:rPr>
      </w:pPr>
    </w:p>
    <w:p w:rsidR="00C53936" w:rsidRPr="00864E59" w:rsidRDefault="00C53936" w:rsidP="00C53936">
      <w:pPr>
        <w:pStyle w:val="Odstavecseseznamem"/>
        <w:numPr>
          <w:ilvl w:val="0"/>
          <w:numId w:val="5"/>
        </w:numPr>
        <w:shd w:val="clear" w:color="auto" w:fill="FFFFFF"/>
        <w:rPr>
          <w:rStyle w:val="Nadpis3Char"/>
        </w:rPr>
      </w:pPr>
      <w:r w:rsidRPr="00864E59">
        <w:rPr>
          <w:rStyle w:val="Nadpis3Char"/>
        </w:rPr>
        <w:t xml:space="preserve">Přehled nájemních smluv </w:t>
      </w:r>
      <w:r>
        <w:rPr>
          <w:rStyle w:val="Nadpis3Char"/>
        </w:rPr>
        <w:t xml:space="preserve">v reportu 1B (sekce V.) </w:t>
      </w:r>
      <w:r w:rsidRPr="00864E59">
        <w:rPr>
          <w:rStyle w:val="Nadpis3Char"/>
        </w:rPr>
        <w:t>- Doplnění druhu plochy (podlahová/nepodlahová)</w:t>
      </w:r>
    </w:p>
    <w:p w:rsidR="00C53936" w:rsidRPr="00C53936" w:rsidRDefault="00C53936" w:rsidP="00C53936">
      <w:pPr>
        <w:pStyle w:val="Odstavecseseznamem"/>
        <w:numPr>
          <w:ilvl w:val="1"/>
          <w:numId w:val="5"/>
        </w:numPr>
        <w:autoSpaceDE w:val="0"/>
        <w:autoSpaceDN w:val="0"/>
        <w:adjustRightInd w:val="0"/>
        <w:spacing w:after="0" w:line="240" w:lineRule="auto"/>
        <w:jc w:val="both"/>
        <w:rPr>
          <w:rFonts w:cs="Verdana"/>
          <w:color w:val="000000"/>
          <w:sz w:val="18"/>
          <w:szCs w:val="18"/>
        </w:rPr>
      </w:pPr>
      <w:r w:rsidRPr="00C53936">
        <w:rPr>
          <w:rFonts w:cs="Verdana"/>
          <w:color w:val="000000"/>
          <w:sz w:val="18"/>
          <w:szCs w:val="18"/>
        </w:rPr>
        <w:t>Aktuální stav: Detail nájemních smluv aktuálně nezobrazuje informace o typu plochy</w:t>
      </w:r>
    </w:p>
    <w:p w:rsidR="00C53936" w:rsidRPr="00C53936" w:rsidRDefault="00C53936" w:rsidP="00C53936">
      <w:pPr>
        <w:pStyle w:val="Odstavecseseznamem"/>
        <w:numPr>
          <w:ilvl w:val="1"/>
          <w:numId w:val="5"/>
        </w:numPr>
        <w:autoSpaceDE w:val="0"/>
        <w:autoSpaceDN w:val="0"/>
        <w:adjustRightInd w:val="0"/>
        <w:spacing w:after="0" w:line="240" w:lineRule="auto"/>
        <w:jc w:val="both"/>
        <w:rPr>
          <w:rFonts w:cs="Verdana"/>
          <w:color w:val="000000"/>
          <w:sz w:val="18"/>
          <w:szCs w:val="18"/>
        </w:rPr>
      </w:pPr>
      <w:r w:rsidRPr="00C53936">
        <w:rPr>
          <w:rFonts w:cs="Verdana"/>
          <w:color w:val="000000"/>
          <w:sz w:val="18"/>
          <w:szCs w:val="18"/>
        </w:rPr>
        <w:t>Popis rozvojového požadavku: Doplnění detailu (sloupce) k nájemním smlouvám. Uváděné smlouvy se mohou týkat také nepodlahových ploch, v takovém případě se nemůže u takové smlouvy zobrazit výměra. Do reportu bude doplněn sloupec Druh plochy, s možnými hodnotami Podlahová, nepodlahová. Nový sloupec bude doplněn do všech sekcí smluv (byty, komerční, dopravci).</w:t>
      </w:r>
    </w:p>
    <w:p w:rsidR="00C53936" w:rsidRDefault="00C53936" w:rsidP="00C53936">
      <w:pPr>
        <w:pStyle w:val="Odstavecseseznamem"/>
        <w:autoSpaceDE w:val="0"/>
        <w:autoSpaceDN w:val="0"/>
        <w:adjustRightInd w:val="0"/>
        <w:spacing w:after="0" w:line="240" w:lineRule="auto"/>
        <w:ind w:left="792"/>
        <w:rPr>
          <w:rFonts w:cs="Verdana"/>
          <w:color w:val="000000"/>
          <w:szCs w:val="20"/>
        </w:rPr>
      </w:pPr>
    </w:p>
    <w:p w:rsidR="00C53936" w:rsidRPr="00864E59" w:rsidRDefault="00C53936" w:rsidP="00C53936">
      <w:pPr>
        <w:pStyle w:val="Odstavecseseznamem"/>
        <w:numPr>
          <w:ilvl w:val="0"/>
          <w:numId w:val="5"/>
        </w:numPr>
        <w:shd w:val="clear" w:color="auto" w:fill="FFFFFF"/>
        <w:rPr>
          <w:rStyle w:val="Nadpis3Char"/>
        </w:rPr>
      </w:pPr>
      <w:r w:rsidRPr="00864E59">
        <w:rPr>
          <w:rStyle w:val="Nadpis3Char"/>
        </w:rPr>
        <w:t>Přehled nájemních smluv - Součet nájemních smluv u reportu 1B</w:t>
      </w:r>
      <w:r>
        <w:rPr>
          <w:rStyle w:val="Nadpis3Char"/>
        </w:rPr>
        <w:t xml:space="preserve"> (sekce V.)</w:t>
      </w:r>
    </w:p>
    <w:p w:rsidR="00C53936" w:rsidRPr="00C53936" w:rsidRDefault="00C53936" w:rsidP="00C53936">
      <w:pPr>
        <w:pStyle w:val="Odstavecseseznamem"/>
        <w:numPr>
          <w:ilvl w:val="1"/>
          <w:numId w:val="5"/>
        </w:numPr>
        <w:autoSpaceDE w:val="0"/>
        <w:autoSpaceDN w:val="0"/>
        <w:adjustRightInd w:val="0"/>
        <w:spacing w:after="0" w:line="240" w:lineRule="auto"/>
        <w:jc w:val="both"/>
        <w:rPr>
          <w:rFonts w:cs="Verdana"/>
          <w:color w:val="000000"/>
          <w:sz w:val="18"/>
          <w:szCs w:val="18"/>
        </w:rPr>
      </w:pPr>
      <w:r w:rsidRPr="00C53936">
        <w:rPr>
          <w:rFonts w:cs="Verdana"/>
          <w:color w:val="000000"/>
          <w:sz w:val="18"/>
          <w:szCs w:val="18"/>
        </w:rPr>
        <w:t>Aktuální stav: Report 1B aktuálně zobrazuje počet nájemních smluv dle kategorií - byty, komerční, dopravci. Součet (viz Obrázek 5) odpovídá pouze smlouvám, které se týkají pouze podlahové plochy.</w:t>
      </w:r>
    </w:p>
    <w:p w:rsidR="00C53936" w:rsidRPr="00C53936" w:rsidRDefault="00C53936" w:rsidP="00C53936">
      <w:pPr>
        <w:pStyle w:val="Odstavecseseznamem"/>
        <w:numPr>
          <w:ilvl w:val="1"/>
          <w:numId w:val="5"/>
        </w:numPr>
        <w:autoSpaceDE w:val="0"/>
        <w:autoSpaceDN w:val="0"/>
        <w:adjustRightInd w:val="0"/>
        <w:spacing w:after="0" w:line="240" w:lineRule="auto"/>
        <w:jc w:val="both"/>
        <w:rPr>
          <w:rFonts w:cs="Verdana"/>
          <w:color w:val="000000"/>
          <w:sz w:val="18"/>
          <w:szCs w:val="18"/>
        </w:rPr>
      </w:pPr>
      <w:r w:rsidRPr="00C53936">
        <w:rPr>
          <w:rFonts w:cs="Verdana"/>
          <w:color w:val="000000"/>
          <w:sz w:val="18"/>
          <w:szCs w:val="18"/>
        </w:rPr>
        <w:t>Popis rozvojového požadavku: Zahrnout do počtu smluv všechny nájemní smlouvy, nikoliv pouze ty, které se týkají podlahové plochy. Součástí požadavku je též odstranění komentáře, který je součástí sekce V. a po doplnění všech nájemních smluv již nebude platný.</w:t>
      </w:r>
    </w:p>
    <w:p w:rsidR="00C53936" w:rsidRDefault="00C53936" w:rsidP="00C53936">
      <w:pPr>
        <w:pStyle w:val="Odstavecseseznamem"/>
        <w:autoSpaceDE w:val="0"/>
        <w:autoSpaceDN w:val="0"/>
        <w:adjustRightInd w:val="0"/>
        <w:spacing w:after="0" w:line="240" w:lineRule="auto"/>
        <w:ind w:left="999"/>
        <w:jc w:val="both"/>
        <w:rPr>
          <w:rFonts w:cs="Verdana"/>
          <w:color w:val="000000"/>
          <w:szCs w:val="20"/>
        </w:rPr>
      </w:pPr>
    </w:p>
    <w:p w:rsidR="00C53936" w:rsidRDefault="00C53936" w:rsidP="00533B01">
      <w:pPr>
        <w:pStyle w:val="Odstavecseseznamem"/>
        <w:autoSpaceDE w:val="0"/>
        <w:autoSpaceDN w:val="0"/>
        <w:adjustRightInd w:val="0"/>
        <w:spacing w:after="0" w:line="240" w:lineRule="auto"/>
        <w:ind w:left="0"/>
        <w:jc w:val="both"/>
        <w:rPr>
          <w:rFonts w:cs="Verdana"/>
          <w:color w:val="000000"/>
          <w:szCs w:val="20"/>
        </w:rPr>
      </w:pPr>
      <w:r w:rsidRPr="00846F13">
        <w:rPr>
          <w:rFonts w:cs="Verdana"/>
          <w:noProof/>
          <w:color w:val="000000"/>
          <w:szCs w:val="20"/>
          <w:lang w:eastAsia="cs-CZ"/>
        </w:rPr>
        <w:drawing>
          <wp:inline distT="0" distB="0" distL="0" distR="0" wp14:anchorId="7AD4DB7F" wp14:editId="52F59A7C">
            <wp:extent cx="5760720" cy="2691765"/>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2691765"/>
                    </a:xfrm>
                    <a:prstGeom prst="rect">
                      <a:avLst/>
                    </a:prstGeom>
                  </pic:spPr>
                </pic:pic>
              </a:graphicData>
            </a:graphic>
          </wp:inline>
        </w:drawing>
      </w:r>
    </w:p>
    <w:p w:rsidR="00C53936" w:rsidRPr="009D25CA" w:rsidRDefault="00C53936" w:rsidP="00C53936">
      <w:pPr>
        <w:pStyle w:val="Titulek"/>
        <w:jc w:val="center"/>
      </w:pPr>
      <w:r w:rsidRPr="009D25CA">
        <w:t>Obrázek 5</w:t>
      </w:r>
    </w:p>
    <w:p w:rsidR="00C53936" w:rsidRDefault="00C53936" w:rsidP="00C53936">
      <w:pPr>
        <w:pStyle w:val="Odstavecseseznamem"/>
        <w:numPr>
          <w:ilvl w:val="0"/>
          <w:numId w:val="5"/>
        </w:numPr>
        <w:shd w:val="clear" w:color="auto" w:fill="FFFFFF"/>
        <w:rPr>
          <w:rStyle w:val="Nadpis3Char"/>
        </w:rPr>
      </w:pPr>
      <w:r w:rsidRPr="000A7E1B">
        <w:rPr>
          <w:rStyle w:val="Nadpis3Char"/>
        </w:rPr>
        <w:t>Kategorizace budov</w:t>
      </w:r>
      <w:r>
        <w:rPr>
          <w:rStyle w:val="Nadpis3Char"/>
        </w:rPr>
        <w:t xml:space="preserve"> - </w:t>
      </w:r>
      <w:r w:rsidRPr="000A7E1B">
        <w:rPr>
          <w:rStyle w:val="Nadpis3Char"/>
        </w:rPr>
        <w:t>Řešení kategorizace budov do skupin</w:t>
      </w:r>
    </w:p>
    <w:p w:rsidR="00C53936" w:rsidRPr="00C53936" w:rsidRDefault="00C53936" w:rsidP="00C53936">
      <w:pPr>
        <w:pStyle w:val="Odstavecseseznamem"/>
        <w:numPr>
          <w:ilvl w:val="1"/>
          <w:numId w:val="5"/>
        </w:numPr>
        <w:autoSpaceDE w:val="0"/>
        <w:autoSpaceDN w:val="0"/>
        <w:adjustRightInd w:val="0"/>
        <w:spacing w:after="0" w:line="240" w:lineRule="auto"/>
        <w:jc w:val="both"/>
        <w:rPr>
          <w:rFonts w:cs="Verdana"/>
          <w:color w:val="000000"/>
          <w:sz w:val="18"/>
          <w:szCs w:val="18"/>
        </w:rPr>
      </w:pPr>
      <w:r w:rsidRPr="00C53936">
        <w:rPr>
          <w:rFonts w:cs="Verdana"/>
          <w:color w:val="000000"/>
          <w:sz w:val="18"/>
          <w:szCs w:val="18"/>
        </w:rPr>
        <w:t>Aktuální stav: Kategorizace budov byla nastavena dle jednání Řídícího výboru u projektu Reporting IS SAP REM</w:t>
      </w:r>
    </w:p>
    <w:p w:rsidR="00C53936" w:rsidRDefault="00C53936" w:rsidP="00C53936">
      <w:pPr>
        <w:pStyle w:val="Odstavecseseznamem"/>
        <w:numPr>
          <w:ilvl w:val="1"/>
          <w:numId w:val="5"/>
        </w:numPr>
        <w:autoSpaceDE w:val="0"/>
        <w:autoSpaceDN w:val="0"/>
        <w:adjustRightInd w:val="0"/>
        <w:spacing w:after="0" w:line="240" w:lineRule="auto"/>
        <w:jc w:val="both"/>
        <w:rPr>
          <w:rFonts w:cs="Verdana"/>
          <w:color w:val="000000"/>
          <w:sz w:val="18"/>
          <w:szCs w:val="18"/>
        </w:rPr>
      </w:pPr>
      <w:r w:rsidRPr="00C53936">
        <w:rPr>
          <w:rFonts w:cs="Verdana"/>
          <w:color w:val="000000"/>
          <w:sz w:val="18"/>
          <w:szCs w:val="18"/>
        </w:rPr>
        <w:lastRenderedPageBreak/>
        <w:t>Popis rozvojového požadavku: V rámci filtru Typ budovy změnit zařazení jednotlivých typů budov v rámci hierarchie tohoto objektu. Nová kategorizace  viz příloha, sloupec Agregovaná skupina typu budovy – březen 2022.</w:t>
      </w:r>
    </w:p>
    <w:p w:rsidR="00533B01" w:rsidRPr="00C53936" w:rsidRDefault="00533B01" w:rsidP="00533B01">
      <w:pPr>
        <w:pStyle w:val="Odstavecseseznamem"/>
        <w:autoSpaceDE w:val="0"/>
        <w:autoSpaceDN w:val="0"/>
        <w:adjustRightInd w:val="0"/>
        <w:spacing w:after="0" w:line="240" w:lineRule="auto"/>
        <w:ind w:left="1424"/>
        <w:jc w:val="both"/>
        <w:rPr>
          <w:rFonts w:cs="Verdana"/>
          <w:color w:val="000000"/>
          <w:sz w:val="18"/>
          <w:szCs w:val="18"/>
        </w:rPr>
      </w:pPr>
    </w:p>
    <w:p w:rsidR="00C53936" w:rsidRPr="00864E59" w:rsidRDefault="00C53936" w:rsidP="00C53936">
      <w:pPr>
        <w:pStyle w:val="Odstavecseseznamem"/>
        <w:numPr>
          <w:ilvl w:val="0"/>
          <w:numId w:val="5"/>
        </w:numPr>
        <w:shd w:val="clear" w:color="auto" w:fill="FFFFFF"/>
        <w:rPr>
          <w:rStyle w:val="Nadpis3Char"/>
        </w:rPr>
      </w:pPr>
      <w:r w:rsidRPr="00864E59">
        <w:rPr>
          <w:rStyle w:val="Nadpis3Char"/>
        </w:rPr>
        <w:t>Účetní okruhy u reportu 1A</w:t>
      </w:r>
      <w:r>
        <w:rPr>
          <w:rStyle w:val="Nadpis3Char"/>
        </w:rPr>
        <w:t xml:space="preserve"> – zobrazení účetního okruhu u filtru Kraj</w:t>
      </w:r>
    </w:p>
    <w:p w:rsidR="00C53936" w:rsidRPr="00C53936" w:rsidRDefault="00C53936" w:rsidP="00C53936">
      <w:pPr>
        <w:pStyle w:val="Odstavecseseznamem"/>
        <w:numPr>
          <w:ilvl w:val="1"/>
          <w:numId w:val="5"/>
        </w:numPr>
        <w:autoSpaceDE w:val="0"/>
        <w:autoSpaceDN w:val="0"/>
        <w:adjustRightInd w:val="0"/>
        <w:spacing w:after="0" w:line="240" w:lineRule="auto"/>
        <w:jc w:val="both"/>
        <w:rPr>
          <w:rFonts w:cs="Verdana"/>
          <w:color w:val="000000"/>
          <w:sz w:val="18"/>
          <w:szCs w:val="18"/>
        </w:rPr>
      </w:pPr>
      <w:r w:rsidRPr="00C53936">
        <w:rPr>
          <w:rFonts w:cs="Verdana"/>
          <w:color w:val="000000"/>
          <w:sz w:val="18"/>
          <w:szCs w:val="18"/>
        </w:rPr>
        <w:t>Aktuální stav: Report 1A ve filtru Kraj nezobrazuje informace o účetních okruzích (ZDC, MOZ). Hodnota filtru tedy není přesně identifikovatelná.</w:t>
      </w:r>
    </w:p>
    <w:p w:rsidR="00C53936" w:rsidRPr="00C53936" w:rsidRDefault="00C53936" w:rsidP="00C53936">
      <w:pPr>
        <w:pStyle w:val="Odstavecseseznamem"/>
        <w:numPr>
          <w:ilvl w:val="1"/>
          <w:numId w:val="5"/>
        </w:numPr>
        <w:autoSpaceDE w:val="0"/>
        <w:autoSpaceDN w:val="0"/>
        <w:adjustRightInd w:val="0"/>
        <w:spacing w:after="0" w:line="240" w:lineRule="auto"/>
        <w:jc w:val="both"/>
        <w:rPr>
          <w:rFonts w:cs="Verdana"/>
          <w:color w:val="000000"/>
          <w:sz w:val="18"/>
          <w:szCs w:val="18"/>
        </w:rPr>
      </w:pPr>
      <w:r w:rsidRPr="00C53936">
        <w:rPr>
          <w:rFonts w:cs="Verdana"/>
          <w:color w:val="000000"/>
          <w:sz w:val="18"/>
          <w:szCs w:val="18"/>
        </w:rPr>
        <w:t xml:space="preserve">Popis rozvojového požadavku: Zobrazení účetního okruhu ve filtru Kraj, v pořadí Popis. ID, např. „Hlavní město Praha (MOZ10)“ v tomto pořadí (opačné pořadí </w:t>
      </w:r>
      <w:proofErr w:type="spellStart"/>
      <w:proofErr w:type="gramStart"/>
      <w:r w:rsidRPr="00C53936">
        <w:rPr>
          <w:rFonts w:cs="Verdana"/>
          <w:color w:val="000000"/>
          <w:sz w:val="18"/>
          <w:szCs w:val="18"/>
        </w:rPr>
        <w:t>ID.popis</w:t>
      </w:r>
      <w:proofErr w:type="spellEnd"/>
      <w:proofErr w:type="gramEnd"/>
      <w:r w:rsidRPr="00C53936">
        <w:rPr>
          <w:rFonts w:cs="Verdana"/>
          <w:color w:val="000000"/>
          <w:sz w:val="18"/>
          <w:szCs w:val="18"/>
        </w:rPr>
        <w:t>, jež lze standardně nastavit v SAC není poptáváno)</w:t>
      </w:r>
    </w:p>
    <w:p w:rsidR="00C53936" w:rsidRPr="00C53936" w:rsidRDefault="00C53936" w:rsidP="00C53936">
      <w:pPr>
        <w:pStyle w:val="Odstavecseseznamem"/>
        <w:autoSpaceDE w:val="0"/>
        <w:autoSpaceDN w:val="0"/>
        <w:adjustRightInd w:val="0"/>
        <w:spacing w:after="0" w:line="240" w:lineRule="auto"/>
        <w:ind w:left="999"/>
        <w:jc w:val="both"/>
        <w:rPr>
          <w:rFonts w:cs="Verdana"/>
          <w:color w:val="000000"/>
          <w:sz w:val="18"/>
          <w:szCs w:val="18"/>
        </w:rPr>
      </w:pPr>
    </w:p>
    <w:p w:rsidR="00C53936" w:rsidRPr="00C53936" w:rsidRDefault="00C53936" w:rsidP="00C53936">
      <w:pPr>
        <w:pStyle w:val="Odstavecseseznamem"/>
        <w:autoSpaceDE w:val="0"/>
        <w:autoSpaceDN w:val="0"/>
        <w:adjustRightInd w:val="0"/>
        <w:spacing w:after="0" w:line="240" w:lineRule="auto"/>
        <w:ind w:left="999"/>
        <w:jc w:val="both"/>
        <w:rPr>
          <w:rFonts w:cs="Verdana"/>
          <w:color w:val="000000"/>
          <w:sz w:val="18"/>
          <w:szCs w:val="18"/>
        </w:rPr>
      </w:pPr>
      <w:r w:rsidRPr="00C53936">
        <w:rPr>
          <w:rFonts w:cs="Verdana"/>
          <w:color w:val="000000"/>
          <w:sz w:val="18"/>
          <w:szCs w:val="18"/>
        </w:rPr>
        <w:t>V obrázku 6 je vidět aktuální nastavení bez zobrazení informace o účetním okruhu.</w:t>
      </w:r>
    </w:p>
    <w:p w:rsidR="00C53936" w:rsidRDefault="00C53936" w:rsidP="00533B01">
      <w:pPr>
        <w:pStyle w:val="Odstavecseseznamem"/>
        <w:autoSpaceDE w:val="0"/>
        <w:autoSpaceDN w:val="0"/>
        <w:adjustRightInd w:val="0"/>
        <w:spacing w:after="0" w:line="240" w:lineRule="auto"/>
        <w:ind w:left="0"/>
        <w:rPr>
          <w:rFonts w:cs="Verdana"/>
          <w:color w:val="000000"/>
          <w:szCs w:val="20"/>
        </w:rPr>
      </w:pPr>
      <w:r w:rsidRPr="0095154F">
        <w:rPr>
          <w:rFonts w:cs="Verdana"/>
          <w:noProof/>
          <w:color w:val="000000"/>
          <w:szCs w:val="20"/>
          <w:lang w:eastAsia="cs-CZ"/>
        </w:rPr>
        <w:drawing>
          <wp:inline distT="0" distB="0" distL="0" distR="0" wp14:anchorId="333470EC" wp14:editId="7DDCDA75">
            <wp:extent cx="3996000" cy="4575600"/>
            <wp:effectExtent l="0" t="0" r="508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996000" cy="4575600"/>
                    </a:xfrm>
                    <a:prstGeom prst="rect">
                      <a:avLst/>
                    </a:prstGeom>
                  </pic:spPr>
                </pic:pic>
              </a:graphicData>
            </a:graphic>
          </wp:inline>
        </w:drawing>
      </w:r>
    </w:p>
    <w:p w:rsidR="00C53936" w:rsidRPr="00864E59" w:rsidRDefault="00C53936" w:rsidP="00C53936">
      <w:pPr>
        <w:pStyle w:val="Titulek"/>
        <w:jc w:val="center"/>
        <w:rPr>
          <w:rFonts w:cs="Verdana"/>
          <w:color w:val="000000"/>
          <w:szCs w:val="20"/>
        </w:rPr>
      </w:pPr>
      <w:r w:rsidRPr="009D25CA">
        <w:t>Obrázek 6</w:t>
      </w:r>
    </w:p>
    <w:p w:rsidR="00C53936" w:rsidRPr="00C549F5" w:rsidRDefault="00C53936" w:rsidP="00C53936">
      <w:pPr>
        <w:autoSpaceDE w:val="0"/>
        <w:autoSpaceDN w:val="0"/>
        <w:adjustRightInd w:val="0"/>
        <w:spacing w:after="0" w:line="240" w:lineRule="auto"/>
        <w:rPr>
          <w:rFonts w:cs="Verdana"/>
          <w:color w:val="000000"/>
          <w:szCs w:val="20"/>
        </w:rPr>
      </w:pPr>
    </w:p>
    <w:p w:rsidR="00C53936" w:rsidRDefault="00C53936" w:rsidP="00C53936">
      <w:pPr>
        <w:pStyle w:val="Odstavecseseznamem"/>
        <w:numPr>
          <w:ilvl w:val="0"/>
          <w:numId w:val="5"/>
        </w:numPr>
        <w:shd w:val="clear" w:color="auto" w:fill="FFFFFF"/>
        <w:rPr>
          <w:rStyle w:val="Nadpis3Char"/>
        </w:rPr>
      </w:pPr>
      <w:r w:rsidRPr="00864E59">
        <w:rPr>
          <w:rStyle w:val="Nadpis3Char"/>
        </w:rPr>
        <w:t xml:space="preserve">Přehled nájemních smluv </w:t>
      </w:r>
      <w:r>
        <w:rPr>
          <w:rStyle w:val="Nadpis3Char"/>
        </w:rPr>
        <w:t xml:space="preserve">v reportu 1B (sekce V.) </w:t>
      </w:r>
      <w:r w:rsidRPr="00864E59">
        <w:rPr>
          <w:rStyle w:val="Nadpis3Char"/>
        </w:rPr>
        <w:t xml:space="preserve">- Doplnění </w:t>
      </w:r>
      <w:r>
        <w:rPr>
          <w:rStyle w:val="Nadpis3Char"/>
        </w:rPr>
        <w:t>identifikátoru budovy</w:t>
      </w:r>
    </w:p>
    <w:p w:rsidR="00C53936" w:rsidRPr="00C53936" w:rsidRDefault="00C53936" w:rsidP="00C53936">
      <w:pPr>
        <w:pStyle w:val="Odstavecseseznamem"/>
        <w:numPr>
          <w:ilvl w:val="1"/>
          <w:numId w:val="5"/>
        </w:numPr>
        <w:autoSpaceDE w:val="0"/>
        <w:autoSpaceDN w:val="0"/>
        <w:adjustRightInd w:val="0"/>
        <w:spacing w:after="0" w:line="240" w:lineRule="auto"/>
        <w:jc w:val="both"/>
        <w:rPr>
          <w:rFonts w:cs="Verdana"/>
          <w:color w:val="000000"/>
          <w:sz w:val="18"/>
          <w:szCs w:val="18"/>
        </w:rPr>
      </w:pPr>
      <w:r w:rsidRPr="00C53936">
        <w:rPr>
          <w:rFonts w:cs="Verdana"/>
          <w:color w:val="000000"/>
          <w:sz w:val="18"/>
          <w:szCs w:val="18"/>
        </w:rPr>
        <w:t xml:space="preserve">Aktuální stav: Report 1B v okně detailu smluv nezobrazuje informaci, ke které budově se daná smlouva váže. </w:t>
      </w:r>
    </w:p>
    <w:p w:rsidR="00C53936" w:rsidRPr="00C53936" w:rsidRDefault="00C53936" w:rsidP="00C53936">
      <w:pPr>
        <w:pStyle w:val="Odstavecseseznamem"/>
        <w:numPr>
          <w:ilvl w:val="1"/>
          <w:numId w:val="5"/>
        </w:numPr>
        <w:autoSpaceDE w:val="0"/>
        <w:autoSpaceDN w:val="0"/>
        <w:adjustRightInd w:val="0"/>
        <w:spacing w:after="0" w:line="240" w:lineRule="auto"/>
        <w:jc w:val="both"/>
        <w:rPr>
          <w:rFonts w:cs="Verdana"/>
          <w:color w:val="000000"/>
          <w:sz w:val="18"/>
          <w:szCs w:val="18"/>
        </w:rPr>
      </w:pPr>
      <w:r w:rsidRPr="00C53936">
        <w:rPr>
          <w:rFonts w:cs="Verdana"/>
          <w:color w:val="000000"/>
          <w:sz w:val="18"/>
          <w:szCs w:val="18"/>
        </w:rPr>
        <w:t>Popis rozvojového požadavku: Doplnění sloupce Budova, ve kterém bude uveden název budovy, ke které se smlouva vztahuje. Uživateli bude tato informace užitečná v tom případě, kdy pomocí filtru vybere více budov.</w:t>
      </w:r>
    </w:p>
    <w:p w:rsidR="00C53936" w:rsidRPr="009D25CA" w:rsidRDefault="00C53936" w:rsidP="00C53936">
      <w:pPr>
        <w:autoSpaceDE w:val="0"/>
        <w:autoSpaceDN w:val="0"/>
        <w:adjustRightInd w:val="0"/>
        <w:spacing w:after="0" w:line="240" w:lineRule="auto"/>
        <w:jc w:val="both"/>
        <w:rPr>
          <w:rFonts w:cs="Verdana"/>
          <w:color w:val="000000"/>
          <w:szCs w:val="20"/>
        </w:rPr>
      </w:pPr>
    </w:p>
    <w:p w:rsidR="00C53936" w:rsidRPr="009D25CA" w:rsidRDefault="00C53936" w:rsidP="00C53936">
      <w:pPr>
        <w:pStyle w:val="Odstavecseseznamem"/>
        <w:autoSpaceDE w:val="0"/>
        <w:autoSpaceDN w:val="0"/>
        <w:adjustRightInd w:val="0"/>
        <w:spacing w:after="0" w:line="240" w:lineRule="auto"/>
        <w:ind w:left="999"/>
        <w:rPr>
          <w:rFonts w:cs="Verdana"/>
          <w:color w:val="000000"/>
          <w:szCs w:val="20"/>
        </w:rPr>
      </w:pPr>
    </w:p>
    <w:p w:rsidR="00C53936" w:rsidRPr="008E0BB7" w:rsidRDefault="00C53936" w:rsidP="00C53936">
      <w:pPr>
        <w:autoSpaceDE w:val="0"/>
        <w:autoSpaceDN w:val="0"/>
        <w:adjustRightInd w:val="0"/>
        <w:spacing w:after="0" w:line="240" w:lineRule="auto"/>
        <w:rPr>
          <w:rFonts w:cs="Verdana"/>
          <w:color w:val="000000"/>
          <w:szCs w:val="20"/>
        </w:rPr>
      </w:pPr>
    </w:p>
    <w:p w:rsidR="00C53936" w:rsidRPr="009D25CA" w:rsidRDefault="00C53936" w:rsidP="00C53936">
      <w:pPr>
        <w:pStyle w:val="Odstavecseseznamem"/>
        <w:numPr>
          <w:ilvl w:val="0"/>
          <w:numId w:val="5"/>
        </w:numPr>
        <w:shd w:val="clear" w:color="auto" w:fill="FFFFFF"/>
        <w:rPr>
          <w:rStyle w:val="Nadpis3Char"/>
        </w:rPr>
      </w:pPr>
      <w:r w:rsidRPr="009D25CA">
        <w:rPr>
          <w:rStyle w:val="Nadpis3Char"/>
        </w:rPr>
        <w:lastRenderedPageBreak/>
        <w:t>Manažerský report pro správu nemovitostí: Úprava algoritmu pro využití prostor (sekce II. u reportu 1A, sekce III. u reportu 1B)</w:t>
      </w:r>
    </w:p>
    <w:p w:rsidR="00C53936" w:rsidRPr="00C53936" w:rsidRDefault="00C53936" w:rsidP="00C53936">
      <w:pPr>
        <w:pStyle w:val="Odstavecseseznamem"/>
        <w:numPr>
          <w:ilvl w:val="1"/>
          <w:numId w:val="5"/>
        </w:numPr>
        <w:autoSpaceDE w:val="0"/>
        <w:autoSpaceDN w:val="0"/>
        <w:adjustRightInd w:val="0"/>
        <w:spacing w:after="0" w:line="240" w:lineRule="auto"/>
        <w:ind w:left="1560" w:hanging="568"/>
        <w:jc w:val="both"/>
        <w:rPr>
          <w:rFonts w:cs="Verdana"/>
          <w:color w:val="000000"/>
          <w:sz w:val="18"/>
          <w:szCs w:val="18"/>
        </w:rPr>
      </w:pPr>
      <w:r w:rsidRPr="00C53936">
        <w:rPr>
          <w:rFonts w:cs="Verdana"/>
          <w:color w:val="000000"/>
          <w:sz w:val="18"/>
          <w:szCs w:val="18"/>
        </w:rPr>
        <w:t xml:space="preserve">Aktuální stav: Algoritmus, který rozděluje jednotlivé plochy budovy do definovaných kategorií (Bytové prostory, Externě využitelné prostory, Interně využitelné prostory, Ostatní prostory) aktuálně započítává do součtu i nájemní objekty, které nemají vazbu na architektonické objekty. Tyto nájemní objekty jsou vedeny v datovém zdroji z účetních důvodů a nelze je proto z datového zdroje vymazat. Existence a započítávání těchto nájemních objektů způsobuje nerovnost položky „Podlahová plocha budovy v m2“ se součtem hodnot uvedených ve výsečových grafech sekce III. Využití ploch. </w:t>
      </w:r>
    </w:p>
    <w:p w:rsidR="00C53936" w:rsidRPr="00C53936" w:rsidRDefault="00C53936" w:rsidP="00C53936">
      <w:pPr>
        <w:pStyle w:val="Odstavecseseznamem"/>
        <w:numPr>
          <w:ilvl w:val="1"/>
          <w:numId w:val="5"/>
        </w:numPr>
        <w:autoSpaceDE w:val="0"/>
        <w:autoSpaceDN w:val="0"/>
        <w:adjustRightInd w:val="0"/>
        <w:spacing w:after="0" w:line="240" w:lineRule="auto"/>
        <w:ind w:left="1560" w:hanging="568"/>
        <w:jc w:val="both"/>
        <w:rPr>
          <w:rFonts w:cs="Verdana"/>
          <w:color w:val="000000"/>
          <w:sz w:val="18"/>
          <w:szCs w:val="18"/>
        </w:rPr>
      </w:pPr>
      <w:r w:rsidRPr="00C53936">
        <w:rPr>
          <w:rFonts w:cs="Verdana"/>
          <w:color w:val="000000"/>
          <w:sz w:val="18"/>
          <w:szCs w:val="18"/>
        </w:rPr>
        <w:t xml:space="preserve">Popis rozvojového požadavku: Algoritmus nebude započítávat do výpočtu ploch nájemní objekty bez vazby na architektonické objekty. Požadavek vyžaduje úpravu algoritmu, který rozděluje jednotlivé plochy budovy do definovaných kategorií. Součet položky „Podlahová plocha budovy v m2“ se bude rovnat součtu hodnot uvedených ve výsečových grafech sekce III. Využití ploch. </w:t>
      </w:r>
    </w:p>
    <w:p w:rsidR="00C53936" w:rsidRPr="00C53936" w:rsidRDefault="00C53936" w:rsidP="00C53936">
      <w:pPr>
        <w:pStyle w:val="Odstavecseseznamem"/>
        <w:autoSpaceDE w:val="0"/>
        <w:autoSpaceDN w:val="0"/>
        <w:adjustRightInd w:val="0"/>
        <w:spacing w:after="0" w:line="240" w:lineRule="auto"/>
        <w:ind w:left="1424"/>
        <w:jc w:val="both"/>
        <w:rPr>
          <w:rFonts w:cs="Verdana"/>
          <w:color w:val="000000"/>
          <w:sz w:val="18"/>
          <w:szCs w:val="18"/>
        </w:rPr>
      </w:pPr>
    </w:p>
    <w:p w:rsidR="00C53936" w:rsidRPr="00C53936" w:rsidRDefault="00C53936" w:rsidP="00C53936">
      <w:pPr>
        <w:rPr>
          <w:sz w:val="18"/>
          <w:szCs w:val="18"/>
        </w:rPr>
      </w:pPr>
      <w:r w:rsidRPr="00C53936">
        <w:rPr>
          <w:sz w:val="18"/>
          <w:szCs w:val="18"/>
        </w:rPr>
        <w:t>Aktuální stav je zobrazen na obrázku 7</w:t>
      </w:r>
    </w:p>
    <w:p w:rsidR="00C53936" w:rsidRDefault="00C53936" w:rsidP="00C53936">
      <w:bookmarkStart w:id="42" w:name="_GoBack"/>
      <w:r w:rsidRPr="007D244E">
        <w:rPr>
          <w:noProof/>
          <w:lang w:eastAsia="cs-CZ"/>
        </w:rPr>
        <w:drawing>
          <wp:inline distT="0" distB="0" distL="0" distR="0" wp14:anchorId="1CB5BAB5" wp14:editId="02C88381">
            <wp:extent cx="5760720" cy="3400425"/>
            <wp:effectExtent l="0" t="0" r="0" b="952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3400425"/>
                    </a:xfrm>
                    <a:prstGeom prst="rect">
                      <a:avLst/>
                    </a:prstGeom>
                  </pic:spPr>
                </pic:pic>
              </a:graphicData>
            </a:graphic>
          </wp:inline>
        </w:drawing>
      </w:r>
      <w:bookmarkEnd w:id="42"/>
    </w:p>
    <w:p w:rsidR="00C53936" w:rsidRDefault="00C53936" w:rsidP="00C53936">
      <w:pPr>
        <w:pStyle w:val="Titulek"/>
        <w:jc w:val="center"/>
      </w:pPr>
      <w:r>
        <w:t>Obrázek 7</w:t>
      </w:r>
    </w:p>
    <w:p w:rsidR="00C53936" w:rsidRPr="00C53936" w:rsidRDefault="00C53936" w:rsidP="00C53936">
      <w:pPr>
        <w:rPr>
          <w:sz w:val="18"/>
          <w:szCs w:val="18"/>
        </w:rPr>
      </w:pPr>
      <w:r w:rsidRPr="00C53936">
        <w:rPr>
          <w:sz w:val="18"/>
          <w:szCs w:val="18"/>
        </w:rPr>
        <w:t xml:space="preserve">Příloha </w:t>
      </w:r>
    </w:p>
    <w:p w:rsidR="00C53936" w:rsidRPr="00C53936" w:rsidRDefault="00C53936" w:rsidP="00C53936">
      <w:pPr>
        <w:rPr>
          <w:sz w:val="18"/>
          <w:szCs w:val="18"/>
        </w:rPr>
      </w:pPr>
      <w:r w:rsidRPr="00C53936">
        <w:rPr>
          <w:sz w:val="18"/>
          <w:szCs w:val="18"/>
        </w:rPr>
        <w:t>DNS_manažerský_reporting_bod7_Kategorizace_budov</w:t>
      </w:r>
    </w:p>
    <w:p w:rsidR="009F392E" w:rsidRPr="007139D4" w:rsidRDefault="009F392E" w:rsidP="00C53936">
      <w:pPr>
        <w:pStyle w:val="Odstavecseseznamem"/>
        <w:ind w:left="0"/>
        <w:rPr>
          <w:sz w:val="18"/>
          <w:szCs w:val="18"/>
        </w:rPr>
      </w:pPr>
    </w:p>
    <w:sectPr w:rsidR="009F392E" w:rsidRPr="007139D4"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2AE" w:rsidRDefault="00C242AE" w:rsidP="00962258">
      <w:pPr>
        <w:spacing w:after="0" w:line="240" w:lineRule="auto"/>
      </w:pPr>
      <w:r>
        <w:separator/>
      </w:r>
    </w:p>
  </w:endnote>
  <w:endnote w:type="continuationSeparator" w:id="0">
    <w:p w:rsidR="00C242AE" w:rsidRDefault="00C242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3B01">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33B01">
            <w:rPr>
              <w:rStyle w:val="slostrnky"/>
              <w:noProof/>
            </w:rPr>
            <w:t>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794CA69" wp14:editId="6225FDE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0BEBF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68A6600" wp14:editId="6677FB1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06C03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3B0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33B01">
            <w:rPr>
              <w:rStyle w:val="slostrnky"/>
              <w:noProof/>
            </w:rPr>
            <w:t>5</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4C5D55" w:rsidP="00460660">
          <w:pPr>
            <w:pStyle w:val="Zpat"/>
          </w:pPr>
          <w:r>
            <w:t>www.spravazeleznic</w:t>
          </w:r>
          <w:r w:rsidR="00F1715C">
            <w:t>.cz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7D763EE8" wp14:editId="3C584C0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E5277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226AA601" wp14:editId="706F43E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7E8B7A"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2AE" w:rsidRDefault="00C242AE" w:rsidP="00962258">
      <w:pPr>
        <w:spacing w:after="0" w:line="240" w:lineRule="auto"/>
      </w:pPr>
      <w:r>
        <w:separator/>
      </w:r>
    </w:p>
  </w:footnote>
  <w:footnote w:type="continuationSeparator" w:id="0">
    <w:p w:rsidR="00C242AE" w:rsidRDefault="00C242A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23E8B38B" wp14:editId="313C9D96">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numStyleLink w:val="ListBulletmultilevel"/>
  </w:abstractNum>
  <w:abstractNum w:abstractNumId="3" w15:restartNumberingAfterBreak="0">
    <w:nsid w:val="3CBC3F51"/>
    <w:multiLevelType w:val="multilevel"/>
    <w:tmpl w:val="0405001F"/>
    <w:lvl w:ilvl="0">
      <w:start w:val="1"/>
      <w:numFmt w:val="decimal"/>
      <w:lvlText w:val="%1."/>
      <w:lvlJc w:val="left"/>
      <w:pPr>
        <w:ind w:left="360" w:hanging="360"/>
      </w:pPr>
      <w:rPr>
        <w:rFonts w:hint="default"/>
        <w:b/>
        <w:color w:val="002B59" w:themeColor="accent1"/>
      </w:rPr>
    </w:lvl>
    <w:lvl w:ilvl="1">
      <w:start w:val="1"/>
      <w:numFmt w:val="decimal"/>
      <w:lvlText w:val="%1.%2."/>
      <w:lvlJc w:val="left"/>
      <w:pPr>
        <w:ind w:left="142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AF90E98"/>
    <w:multiLevelType w:val="hybridMultilevel"/>
    <w:tmpl w:val="0DEC91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4070991"/>
    <w:multiLevelType w:val="multilevel"/>
    <w:tmpl w:val="CABE99FC"/>
    <w:numStyleLink w:val="ListNumbermultilevel"/>
  </w:abstractNum>
  <w:num w:numId="1">
    <w:abstractNumId w:val="1"/>
  </w:num>
  <w:num w:numId="2">
    <w:abstractNumId w:val="0"/>
  </w:num>
  <w:num w:numId="3">
    <w:abstractNumId w:val="2"/>
  </w:num>
  <w:num w:numId="4">
    <w:abstractNumId w:val="5"/>
  </w:num>
  <w:num w:numId="5">
    <w:abstractNumId w:val="3"/>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C01"/>
    <w:rsid w:val="00072C1E"/>
    <w:rsid w:val="000C5606"/>
    <w:rsid w:val="000E23A7"/>
    <w:rsid w:val="000F3F8F"/>
    <w:rsid w:val="0010693F"/>
    <w:rsid w:val="00114472"/>
    <w:rsid w:val="001550BC"/>
    <w:rsid w:val="001605B9"/>
    <w:rsid w:val="00170EC5"/>
    <w:rsid w:val="001747C1"/>
    <w:rsid w:val="00184743"/>
    <w:rsid w:val="00207DF5"/>
    <w:rsid w:val="00280E07"/>
    <w:rsid w:val="002C31BF"/>
    <w:rsid w:val="002D08B1"/>
    <w:rsid w:val="002E0CD7"/>
    <w:rsid w:val="00341DCF"/>
    <w:rsid w:val="00357BC6"/>
    <w:rsid w:val="00371A72"/>
    <w:rsid w:val="003956C6"/>
    <w:rsid w:val="00434E7F"/>
    <w:rsid w:val="00441430"/>
    <w:rsid w:val="00450F07"/>
    <w:rsid w:val="00453CD3"/>
    <w:rsid w:val="00460660"/>
    <w:rsid w:val="00486107"/>
    <w:rsid w:val="00491827"/>
    <w:rsid w:val="004B348C"/>
    <w:rsid w:val="004C2ABB"/>
    <w:rsid w:val="004C4399"/>
    <w:rsid w:val="004C5D55"/>
    <w:rsid w:val="004C787C"/>
    <w:rsid w:val="004E143C"/>
    <w:rsid w:val="004E3A53"/>
    <w:rsid w:val="004F20BC"/>
    <w:rsid w:val="004F4B9B"/>
    <w:rsid w:val="004F69EA"/>
    <w:rsid w:val="0050397F"/>
    <w:rsid w:val="00511AB9"/>
    <w:rsid w:val="00520C8B"/>
    <w:rsid w:val="00523EA7"/>
    <w:rsid w:val="00533B01"/>
    <w:rsid w:val="00553375"/>
    <w:rsid w:val="00557C28"/>
    <w:rsid w:val="005736B7"/>
    <w:rsid w:val="00575E5A"/>
    <w:rsid w:val="005E5337"/>
    <w:rsid w:val="005F1404"/>
    <w:rsid w:val="0061068E"/>
    <w:rsid w:val="006565DB"/>
    <w:rsid w:val="00660AD3"/>
    <w:rsid w:val="00676C01"/>
    <w:rsid w:val="00677B7F"/>
    <w:rsid w:val="006A5570"/>
    <w:rsid w:val="006A689C"/>
    <w:rsid w:val="006B3D79"/>
    <w:rsid w:val="006D7AFE"/>
    <w:rsid w:val="006E0578"/>
    <w:rsid w:val="006E314D"/>
    <w:rsid w:val="00710723"/>
    <w:rsid w:val="007139D4"/>
    <w:rsid w:val="00723ED1"/>
    <w:rsid w:val="00743525"/>
    <w:rsid w:val="0076286B"/>
    <w:rsid w:val="00766846"/>
    <w:rsid w:val="00773FE8"/>
    <w:rsid w:val="0077673A"/>
    <w:rsid w:val="00776B86"/>
    <w:rsid w:val="007846E1"/>
    <w:rsid w:val="007B570C"/>
    <w:rsid w:val="007C589B"/>
    <w:rsid w:val="007E4A6E"/>
    <w:rsid w:val="007F56A7"/>
    <w:rsid w:val="00807DD0"/>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83740"/>
    <w:rsid w:val="00992D9C"/>
    <w:rsid w:val="00996CB8"/>
    <w:rsid w:val="009B14A9"/>
    <w:rsid w:val="009B2E97"/>
    <w:rsid w:val="009D362A"/>
    <w:rsid w:val="009E07F4"/>
    <w:rsid w:val="009F392E"/>
    <w:rsid w:val="00A16E19"/>
    <w:rsid w:val="00A6177B"/>
    <w:rsid w:val="00A66136"/>
    <w:rsid w:val="00AA4CBB"/>
    <w:rsid w:val="00AA65FA"/>
    <w:rsid w:val="00AA7351"/>
    <w:rsid w:val="00AD056F"/>
    <w:rsid w:val="00AD6731"/>
    <w:rsid w:val="00AE0D05"/>
    <w:rsid w:val="00B15D0D"/>
    <w:rsid w:val="00B75EE1"/>
    <w:rsid w:val="00B77481"/>
    <w:rsid w:val="00B8518B"/>
    <w:rsid w:val="00B9657E"/>
    <w:rsid w:val="00BD7E91"/>
    <w:rsid w:val="00C02D0A"/>
    <w:rsid w:val="00C03A6E"/>
    <w:rsid w:val="00C06299"/>
    <w:rsid w:val="00C15DAF"/>
    <w:rsid w:val="00C242AE"/>
    <w:rsid w:val="00C44F6A"/>
    <w:rsid w:val="00C47AE3"/>
    <w:rsid w:val="00C53936"/>
    <w:rsid w:val="00CD1FC4"/>
    <w:rsid w:val="00D21061"/>
    <w:rsid w:val="00D22D30"/>
    <w:rsid w:val="00D4108E"/>
    <w:rsid w:val="00D6163D"/>
    <w:rsid w:val="00D73D46"/>
    <w:rsid w:val="00D831A3"/>
    <w:rsid w:val="00D871EE"/>
    <w:rsid w:val="00DB66C5"/>
    <w:rsid w:val="00DC75F3"/>
    <w:rsid w:val="00DD46F3"/>
    <w:rsid w:val="00DE56F2"/>
    <w:rsid w:val="00DF116D"/>
    <w:rsid w:val="00E36C4A"/>
    <w:rsid w:val="00EB104F"/>
    <w:rsid w:val="00ED14BD"/>
    <w:rsid w:val="00F0533E"/>
    <w:rsid w:val="00F1048D"/>
    <w:rsid w:val="00F12DEC"/>
    <w:rsid w:val="00F1715C"/>
    <w:rsid w:val="00F276DA"/>
    <w:rsid w:val="00F30B4F"/>
    <w:rsid w:val="00F310F8"/>
    <w:rsid w:val="00F35939"/>
    <w:rsid w:val="00F4036B"/>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8AC9CF"/>
  <w14:defaultImageDpi w14:val="32767"/>
  <w15:docId w15:val="{79DCBD65-D6F4-4FD3-9A3B-F113AEB2E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06299"/>
    <w:pPr>
      <w:spacing w:after="200" w:line="276" w:lineRule="auto"/>
    </w:pPr>
    <w:rPr>
      <w:rFonts w:ascii="Verdana" w:hAnsi="Verdana"/>
      <w:sz w:val="20"/>
      <w:szCs w:val="22"/>
    </w:rPr>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unhideWhenUsed/>
    <w:qFormat/>
    <w:rsid w:val="00895406"/>
    <w:pPr>
      <w:spacing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OdstavecseseznamemChar">
    <w:name w:val="Odstavec se seznamem Char"/>
    <w:basedOn w:val="Standardnpsmoodstavce"/>
    <w:link w:val="Odstavecseseznamem"/>
    <w:uiPriority w:val="34"/>
    <w:rsid w:val="00C53936"/>
    <w:rPr>
      <w:rFonts w:ascii="Verdana" w:hAnsi="Verdana"/>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3\Hlavi&#269;kov&#253;%20pap&#237;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25FB4-5041-4262-921A-6D73A1C89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4.xml><?xml version="1.0" encoding="utf-8"?>
<ds:datastoreItem xmlns:ds="http://schemas.openxmlformats.org/officeDocument/2006/customXml" ds:itemID="{6A761DBF-54BE-490E-B4E7-69BCD16F7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papír.dotx</Template>
  <TotalTime>5</TotalTime>
  <Pages>5</Pages>
  <Words>1060</Words>
  <Characters>6256</Characters>
  <Application>Microsoft Office Word</Application>
  <DocSecurity>0</DocSecurity>
  <Lines>52</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Herdová Veronika, DiS.</dc:creator>
  <cp:keywords/>
  <dc:description/>
  <cp:lastModifiedBy>Herdová Veronika, DiS.</cp:lastModifiedBy>
  <cp:revision>5</cp:revision>
  <cp:lastPrinted>2017-11-28T17:18:00Z</cp:lastPrinted>
  <dcterms:created xsi:type="dcterms:W3CDTF">2021-09-29T08:21:00Z</dcterms:created>
  <dcterms:modified xsi:type="dcterms:W3CDTF">2022-05-18T12:17:00Z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